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line="579" w:lineRule="exact"/>
        <w:ind w:left="100"/>
        <w:jc w:val="both"/>
        <w:rPr>
          <w:rFonts w:hint="eastAsia" w:ascii="黑体" w:hAnsi="黑体" w:eastAsia="黑体" w:cs="黑体"/>
          <w:sz w:val="32"/>
          <w:szCs w:val="32"/>
          <w:lang w:eastAsia="zh-CN"/>
        </w:rPr>
      </w:pPr>
      <w:r>
        <w:rPr>
          <w:rFonts w:hint="eastAsia" w:ascii="黑体" w:hAnsi="黑体" w:eastAsia="黑体" w:cs="黑体"/>
          <w:w w:val="95"/>
          <w:sz w:val="32"/>
          <w:szCs w:val="32"/>
          <w:lang w:eastAsia="zh-CN"/>
        </w:rPr>
        <w:t>附件2</w:t>
      </w:r>
    </w:p>
    <w:p>
      <w:pPr>
        <w:pStyle w:val="4"/>
        <w:spacing w:before="0" w:line="579" w:lineRule="exact"/>
        <w:jc w:val="both"/>
        <w:rPr>
          <w:rFonts w:hint="eastAsia" w:ascii="仿宋_GB2312" w:eastAsia="仿宋_GB2312"/>
          <w:sz w:val="32"/>
          <w:szCs w:val="32"/>
          <w:lang w:eastAsia="zh-CN"/>
        </w:rPr>
      </w:pPr>
    </w:p>
    <w:p>
      <w:pPr>
        <w:spacing w:line="579" w:lineRule="exact"/>
        <w:jc w:val="center"/>
        <w:rPr>
          <w:rFonts w:hint="eastAsia" w:ascii="方正小标宋简体" w:eastAsia="方正小标宋简体"/>
          <w:b w:val="0"/>
          <w:sz w:val="44"/>
          <w:szCs w:val="44"/>
        </w:rPr>
      </w:pPr>
      <w:r>
        <w:rPr>
          <w:rFonts w:hint="eastAsia" w:ascii="方正小标宋简体" w:eastAsia="方正小标宋简体"/>
          <w:b w:val="0"/>
          <w:sz w:val="44"/>
          <w:szCs w:val="44"/>
        </w:rPr>
        <w:t>市级涉农资金统筹整合操作规程</w:t>
      </w:r>
    </w:p>
    <w:p>
      <w:pPr>
        <w:pStyle w:val="4"/>
        <w:spacing w:before="0" w:line="579" w:lineRule="exact"/>
        <w:jc w:val="both"/>
        <w:rPr>
          <w:rFonts w:hint="eastAsia" w:ascii="仿宋_GB2312" w:eastAsia="仿宋_GB2312"/>
          <w:sz w:val="32"/>
          <w:szCs w:val="32"/>
          <w:lang w:eastAsia="zh-CN"/>
        </w:rPr>
      </w:pPr>
    </w:p>
    <w:p>
      <w:pPr>
        <w:pStyle w:val="4"/>
        <w:spacing w:before="0" w:line="579" w:lineRule="exact"/>
        <w:ind w:left="100" w:right="98" w:firstLine="628"/>
        <w:jc w:val="both"/>
        <w:rPr>
          <w:rFonts w:hint="eastAsia" w:ascii="仿宋_GB2312" w:eastAsia="仿宋_GB2312"/>
          <w:sz w:val="32"/>
          <w:szCs w:val="32"/>
          <w:lang w:eastAsia="zh-CN"/>
        </w:rPr>
      </w:pPr>
      <w:r>
        <w:rPr>
          <w:rFonts w:hint="eastAsia" w:ascii="黑体" w:eastAsia="黑体"/>
          <w:b w:val="0"/>
          <w:sz w:val="32"/>
          <w:szCs w:val="32"/>
          <w:lang w:eastAsia="zh-CN"/>
        </w:rPr>
        <w:t>一、明确当年涉</w:t>
      </w:r>
      <w:r>
        <w:rPr>
          <w:rFonts w:hint="eastAsia" w:ascii="黑体" w:hAnsi="仿宋_GB2312" w:eastAsia="黑体" w:cs="仿宋_GB2312"/>
          <w:b w:val="0"/>
          <w:color w:val="333333"/>
          <w:spacing w:val="8"/>
          <w:sz w:val="32"/>
          <w:szCs w:val="32"/>
          <w:shd w:val="clear" w:color="auto" w:fill="FFFFFF"/>
          <w:lang w:eastAsia="zh-CN"/>
        </w:rPr>
        <w:t>农资金使用方向、原则和目标。</w:t>
      </w:r>
      <w:r>
        <w:rPr>
          <w:rFonts w:hint="eastAsia" w:ascii="仿宋_GB2312" w:hAnsi="仿宋_GB2312" w:eastAsia="仿宋_GB2312" w:cs="仿宋_GB2312"/>
          <w:color w:val="333333"/>
          <w:spacing w:val="8"/>
          <w:sz w:val="32"/>
          <w:szCs w:val="32"/>
          <w:shd w:val="clear" w:color="auto" w:fill="FFFFFF"/>
          <w:lang w:eastAsia="zh-CN"/>
        </w:rPr>
        <w:t>由市</w:t>
      </w:r>
      <w:r>
        <w:rPr>
          <w:rFonts w:hint="eastAsia" w:ascii="仿宋_GB2312" w:eastAsia="仿宋_GB2312"/>
          <w:sz w:val="32"/>
          <w:szCs w:val="32"/>
          <w:lang w:eastAsia="zh-CN"/>
        </w:rPr>
        <w:t>农业农村局牵头召开市涉农资金管理联席会议，结合我省、市“三农”工作的总体部署和实施乡村振兴战略的整体规划，根据市财政部门明确的各类涉农资金预算额度，明确当年涉农资金使用方向、原则和目标。</w:t>
      </w:r>
    </w:p>
    <w:p>
      <w:pPr>
        <w:pStyle w:val="4"/>
        <w:spacing w:before="0" w:line="579" w:lineRule="exact"/>
        <w:ind w:left="100" w:right="98" w:firstLine="628"/>
        <w:jc w:val="both"/>
        <w:rPr>
          <w:rFonts w:hint="eastAsia" w:ascii="仿宋_GB2312" w:eastAsia="仿宋_GB2312"/>
          <w:sz w:val="32"/>
          <w:szCs w:val="32"/>
          <w:lang w:eastAsia="zh-CN"/>
        </w:rPr>
      </w:pPr>
      <w:r>
        <w:rPr>
          <w:rFonts w:hint="eastAsia" w:ascii="黑体" w:eastAsia="黑体"/>
          <w:w w:val="100"/>
          <w:sz w:val="32"/>
          <w:szCs w:val="32"/>
          <w:lang w:eastAsia="zh-CN"/>
        </w:rPr>
        <w:t xml:space="preserve"> </w:t>
      </w:r>
      <w:r>
        <w:rPr>
          <w:rFonts w:hint="eastAsia" w:ascii="黑体" w:eastAsia="黑体"/>
          <w:b w:val="0"/>
          <w:w w:val="100"/>
          <w:sz w:val="32"/>
          <w:szCs w:val="32"/>
          <w:lang w:eastAsia="zh-CN"/>
        </w:rPr>
        <w:t>二、</w:t>
      </w:r>
      <w:r>
        <w:rPr>
          <w:rFonts w:hint="eastAsia" w:ascii="黑体" w:eastAsia="黑体"/>
          <w:b w:val="0"/>
          <w:sz w:val="32"/>
          <w:szCs w:val="32"/>
          <w:lang w:eastAsia="zh-CN"/>
        </w:rPr>
        <w:t>制定部门资金分配方案</w:t>
      </w:r>
      <w:r>
        <w:rPr>
          <w:rFonts w:hint="eastAsia" w:ascii="黑体" w:eastAsia="黑体"/>
          <w:b w:val="0"/>
          <w:w w:val="100"/>
          <w:sz w:val="32"/>
          <w:szCs w:val="32"/>
          <w:lang w:eastAsia="zh-CN"/>
        </w:rPr>
        <w:t>。</w:t>
      </w:r>
      <w:r>
        <w:rPr>
          <w:rFonts w:hint="eastAsia" w:ascii="仿宋_GB2312" w:eastAsia="仿宋_GB2312"/>
          <w:sz w:val="32"/>
          <w:szCs w:val="32"/>
          <w:lang w:eastAsia="zh-CN"/>
        </w:rPr>
        <w:t>市级业务主管部门根据市涉农资金管理联席会议明确的当年涉农资金使用方向、原则、目标和各类涉农资金预算额度</w:t>
      </w:r>
      <w:r>
        <w:rPr>
          <w:rFonts w:hint="eastAsia" w:ascii="仿宋_GB2312" w:eastAsia="仿宋_GB2312"/>
          <w:w w:val="90"/>
          <w:sz w:val="32"/>
          <w:szCs w:val="32"/>
          <w:lang w:eastAsia="zh-CN"/>
        </w:rPr>
        <w:t>，</w:t>
      </w:r>
      <w:r>
        <w:rPr>
          <w:rFonts w:hint="eastAsia" w:ascii="仿宋_GB2312" w:eastAsia="仿宋_GB2312"/>
          <w:sz w:val="32"/>
          <w:szCs w:val="32"/>
          <w:lang w:eastAsia="zh-CN"/>
        </w:rPr>
        <w:t>制定本部门资金分配方案、任务清单和绩效目标</w:t>
      </w:r>
      <w:r>
        <w:rPr>
          <w:rFonts w:hint="eastAsia" w:ascii="仿宋_GB2312" w:eastAsia="仿宋_GB2312"/>
          <w:w w:val="90"/>
          <w:sz w:val="32"/>
          <w:szCs w:val="32"/>
          <w:lang w:eastAsia="zh-CN"/>
        </w:rPr>
        <w:t>，</w:t>
      </w:r>
      <w:r>
        <w:rPr>
          <w:rFonts w:hint="eastAsia" w:ascii="仿宋_GB2312" w:eastAsia="仿宋_GB2312"/>
          <w:sz w:val="32"/>
          <w:szCs w:val="32"/>
          <w:lang w:eastAsia="zh-CN"/>
        </w:rPr>
        <w:t>分类报相应牵头部门汇总</w:t>
      </w:r>
      <w:r>
        <w:rPr>
          <w:rFonts w:hint="eastAsia" w:ascii="仿宋_GB2312" w:eastAsia="仿宋_GB2312"/>
          <w:w w:val="90"/>
          <w:sz w:val="32"/>
          <w:szCs w:val="32"/>
          <w:lang w:eastAsia="zh-CN"/>
        </w:rPr>
        <w:t>，</w:t>
      </w:r>
      <w:r>
        <w:rPr>
          <w:rFonts w:hint="eastAsia" w:ascii="仿宋_GB2312" w:eastAsia="仿宋_GB2312"/>
          <w:sz w:val="32"/>
          <w:szCs w:val="32"/>
          <w:lang w:eastAsia="zh-CN"/>
        </w:rPr>
        <w:t>资金分配方案应符合以下要求: (一) 区分由市级组织实施的项目和由各区统筹实施的项目</w:t>
      </w:r>
      <w:r>
        <w:rPr>
          <w:rFonts w:hint="eastAsia" w:ascii="仿宋_GB2312" w:eastAsia="仿宋_GB2312"/>
          <w:w w:val="90"/>
          <w:sz w:val="32"/>
          <w:szCs w:val="32"/>
          <w:lang w:eastAsia="zh-CN"/>
        </w:rPr>
        <w:t>。</w:t>
      </w:r>
      <w:r>
        <w:rPr>
          <w:rFonts w:hint="eastAsia" w:ascii="仿宋_GB2312" w:eastAsia="仿宋_GB2312"/>
          <w:sz w:val="32"/>
          <w:szCs w:val="32"/>
          <w:lang w:eastAsia="zh-CN"/>
        </w:rPr>
        <w:t>(二) 由市级组织实施的项目资金原则上不超过每类涉农资金总额的</w:t>
      </w:r>
      <w:r>
        <w:rPr>
          <w:rFonts w:hint="eastAsia" w:ascii="仿宋_GB2312" w:eastAsia="仿宋_GB2312"/>
          <w:w w:val="90"/>
          <w:sz w:val="32"/>
          <w:szCs w:val="32"/>
          <w:lang w:eastAsia="zh-CN"/>
        </w:rPr>
        <w:t>50%。</w:t>
      </w:r>
    </w:p>
    <w:p>
      <w:pPr>
        <w:pStyle w:val="4"/>
        <w:spacing w:before="0" w:line="579" w:lineRule="exact"/>
        <w:ind w:left="100" w:right="98" w:firstLine="628"/>
        <w:jc w:val="both"/>
        <w:rPr>
          <w:rFonts w:hint="eastAsia" w:ascii="仿宋_GB2312" w:eastAsia="仿宋_GB2312"/>
          <w:sz w:val="32"/>
          <w:szCs w:val="32"/>
          <w:lang w:eastAsia="zh-CN"/>
        </w:rPr>
      </w:pPr>
      <w:r>
        <w:rPr>
          <w:rFonts w:hint="eastAsia" w:ascii="黑体" w:eastAsia="黑体"/>
          <w:b w:val="0"/>
          <w:sz w:val="32"/>
          <w:szCs w:val="32"/>
          <w:lang w:eastAsia="zh-CN"/>
        </w:rPr>
        <w:t>三</w:t>
      </w:r>
      <w:r>
        <w:rPr>
          <w:rFonts w:hint="eastAsia" w:ascii="黑体" w:eastAsia="黑体"/>
          <w:b w:val="0"/>
          <w:w w:val="100"/>
          <w:sz w:val="32"/>
          <w:szCs w:val="32"/>
          <w:lang w:eastAsia="zh-CN"/>
        </w:rPr>
        <w:t>、</w:t>
      </w:r>
      <w:r>
        <w:rPr>
          <w:rFonts w:hint="eastAsia" w:ascii="黑体" w:eastAsia="黑体"/>
          <w:b w:val="0"/>
          <w:sz w:val="32"/>
          <w:szCs w:val="32"/>
          <w:lang w:eastAsia="zh-CN"/>
        </w:rPr>
        <w:t>汇总总体资金分配方案。</w:t>
      </w:r>
      <w:r>
        <w:rPr>
          <w:rFonts w:hint="eastAsia" w:ascii="仿宋_GB2312" w:eastAsia="仿宋_GB2312"/>
          <w:sz w:val="32"/>
          <w:szCs w:val="32"/>
          <w:lang w:eastAsia="zh-CN"/>
        </w:rPr>
        <w:t>各类涉农资金牵头部门汇总各业务部门提交的资金分配方案、任务清单和绩效目标，依照《专项资金管理办法》及《实施意见》、</w:t>
      </w:r>
      <w:r>
        <w:rPr>
          <w:rFonts w:hint="eastAsia" w:ascii="仿宋_GB2312" w:hAnsi="仿宋_GB2312" w:eastAsia="仿宋_GB2312" w:cs="仿宋_GB2312"/>
          <w:spacing w:val="8"/>
          <w:sz w:val="32"/>
          <w:szCs w:val="32"/>
          <w:shd w:val="clear" w:color="auto" w:fill="FFFFFF"/>
          <w:lang w:eastAsia="zh-CN"/>
        </w:rPr>
        <w:t>《预算资金使用审批暂行办法》、《项目管理条例》的相关规定，按程序报批审定后</w:t>
      </w:r>
      <w:r>
        <w:rPr>
          <w:rFonts w:hint="eastAsia" w:ascii="仿宋_GB2312" w:eastAsia="仿宋_GB2312"/>
          <w:sz w:val="32"/>
          <w:szCs w:val="32"/>
          <w:lang w:eastAsia="zh-CN"/>
        </w:rPr>
        <w:t>报市涉农资金统筹整合领导小组备案。</w:t>
      </w:r>
    </w:p>
    <w:p>
      <w:pPr>
        <w:pStyle w:val="4"/>
        <w:spacing w:before="0" w:line="579" w:lineRule="exact"/>
        <w:ind w:left="100" w:right="98" w:firstLine="628"/>
        <w:jc w:val="both"/>
        <w:rPr>
          <w:rFonts w:hint="eastAsia" w:ascii="仿宋_GB2312" w:eastAsia="仿宋_GB2312"/>
          <w:sz w:val="32"/>
          <w:szCs w:val="32"/>
          <w:lang w:eastAsia="zh-CN"/>
        </w:rPr>
      </w:pPr>
      <w:r>
        <w:rPr>
          <w:rFonts w:hint="eastAsia" w:ascii="黑体" w:eastAsia="黑体"/>
          <w:b w:val="0"/>
          <w:sz w:val="32"/>
          <w:szCs w:val="32"/>
          <w:lang w:eastAsia="zh-CN"/>
        </w:rPr>
        <w:t>四</w:t>
      </w:r>
      <w:r>
        <w:rPr>
          <w:rFonts w:hint="eastAsia" w:ascii="黑体" w:eastAsia="黑体"/>
          <w:b w:val="0"/>
          <w:w w:val="100"/>
          <w:sz w:val="32"/>
          <w:szCs w:val="32"/>
          <w:lang w:eastAsia="zh-CN"/>
        </w:rPr>
        <w:t>、</w:t>
      </w:r>
      <w:r>
        <w:rPr>
          <w:rFonts w:hint="eastAsia" w:ascii="黑体" w:eastAsia="黑体"/>
          <w:b w:val="0"/>
          <w:sz w:val="32"/>
          <w:szCs w:val="32"/>
          <w:lang w:eastAsia="zh-CN"/>
        </w:rPr>
        <w:t>整体下达涉农资金。</w:t>
      </w:r>
      <w:r>
        <w:rPr>
          <w:rFonts w:hint="eastAsia" w:ascii="仿宋_GB2312" w:eastAsia="仿宋_GB2312"/>
          <w:sz w:val="32"/>
          <w:szCs w:val="32"/>
          <w:lang w:eastAsia="zh-CN"/>
        </w:rPr>
        <w:t>市财政部门根据各类涉农资金牵头部门报市涉农资金统筹整合领导小组备案的资金分配方案，整体下达资金</w:t>
      </w:r>
      <w:r>
        <w:rPr>
          <w:rFonts w:hint="eastAsia" w:ascii="仿宋_GB2312" w:eastAsia="仿宋_GB2312"/>
          <w:w w:val="80"/>
          <w:sz w:val="32"/>
          <w:szCs w:val="32"/>
          <w:lang w:eastAsia="zh-CN"/>
        </w:rPr>
        <w:t>。</w:t>
      </w:r>
      <w:r>
        <w:rPr>
          <w:rFonts w:hint="eastAsia" w:ascii="仿宋_GB2312" w:eastAsia="仿宋_GB2312"/>
          <w:sz w:val="32"/>
          <w:szCs w:val="32"/>
          <w:lang w:eastAsia="zh-CN"/>
        </w:rPr>
        <w:t>其中</w:t>
      </w:r>
      <w:r>
        <w:rPr>
          <w:rFonts w:hint="eastAsia" w:ascii="仿宋_GB2312" w:eastAsia="仿宋_GB2312"/>
          <w:w w:val="80"/>
          <w:sz w:val="32"/>
          <w:szCs w:val="32"/>
          <w:lang w:eastAsia="zh-CN"/>
        </w:rPr>
        <w:t>，</w:t>
      </w:r>
      <w:r>
        <w:rPr>
          <w:rFonts w:hint="eastAsia" w:ascii="仿宋_GB2312" w:eastAsia="仿宋_GB2312"/>
          <w:sz w:val="32"/>
          <w:szCs w:val="32"/>
          <w:lang w:eastAsia="zh-CN"/>
        </w:rPr>
        <w:t>由市本级组织实施的项目资金按规定下达至市级业务部门</w:t>
      </w:r>
      <w:r>
        <w:rPr>
          <w:rFonts w:hint="eastAsia" w:ascii="仿宋_GB2312" w:eastAsia="仿宋_GB2312"/>
          <w:w w:val="80"/>
          <w:sz w:val="32"/>
          <w:szCs w:val="32"/>
          <w:lang w:eastAsia="zh-CN"/>
        </w:rPr>
        <w:t>，</w:t>
      </w:r>
      <w:r>
        <w:rPr>
          <w:rFonts w:hint="eastAsia" w:ascii="仿宋_GB2312" w:eastAsia="仿宋_GB2312"/>
          <w:sz w:val="32"/>
          <w:szCs w:val="32"/>
          <w:lang w:eastAsia="zh-CN"/>
        </w:rPr>
        <w:t>由各区统筹实施的项目资金按规定分类整体下达</w:t>
      </w:r>
      <w:r>
        <w:rPr>
          <w:rFonts w:hint="eastAsia" w:ascii="仿宋_GB2312" w:eastAsia="仿宋_GB2312"/>
          <w:w w:val="80"/>
          <w:sz w:val="32"/>
          <w:szCs w:val="32"/>
          <w:lang w:eastAsia="zh-CN"/>
        </w:rPr>
        <w:t>，</w:t>
      </w:r>
      <w:r>
        <w:rPr>
          <w:rFonts w:hint="eastAsia" w:ascii="仿宋_GB2312" w:eastAsia="仿宋_GB2312"/>
          <w:sz w:val="32"/>
          <w:szCs w:val="32"/>
          <w:lang w:eastAsia="zh-CN"/>
        </w:rPr>
        <w:t>资金额度不细化至具体项目</w:t>
      </w:r>
      <w:r>
        <w:rPr>
          <w:rFonts w:hint="eastAsia" w:ascii="仿宋_GB2312" w:eastAsia="仿宋_GB2312"/>
          <w:w w:val="80"/>
          <w:sz w:val="32"/>
          <w:szCs w:val="32"/>
          <w:lang w:eastAsia="zh-CN"/>
        </w:rPr>
        <w:t>。</w:t>
      </w:r>
    </w:p>
    <w:p>
      <w:pPr>
        <w:pStyle w:val="4"/>
        <w:spacing w:before="0" w:line="579" w:lineRule="exact"/>
        <w:ind w:right="98" w:firstLine="640" w:firstLineChars="200"/>
        <w:jc w:val="both"/>
        <w:rPr>
          <w:rFonts w:hint="eastAsia" w:ascii="仿宋_GB2312" w:eastAsia="仿宋_GB2312"/>
          <w:sz w:val="32"/>
          <w:szCs w:val="32"/>
          <w:lang w:eastAsia="zh-CN"/>
        </w:rPr>
      </w:pPr>
      <w:r>
        <w:rPr>
          <w:rFonts w:hint="eastAsia" w:ascii="黑体" w:eastAsia="黑体"/>
          <w:b w:val="0"/>
          <w:sz w:val="32"/>
          <w:szCs w:val="32"/>
          <w:lang w:eastAsia="zh-CN"/>
        </w:rPr>
        <w:t>五</w:t>
      </w:r>
      <w:r>
        <w:rPr>
          <w:rFonts w:hint="eastAsia" w:ascii="黑体" w:eastAsia="黑体"/>
          <w:b w:val="0"/>
          <w:w w:val="100"/>
          <w:sz w:val="32"/>
          <w:szCs w:val="32"/>
          <w:lang w:eastAsia="zh-CN"/>
        </w:rPr>
        <w:t>、</w:t>
      </w:r>
      <w:r>
        <w:rPr>
          <w:rFonts w:hint="eastAsia" w:ascii="黑体" w:eastAsia="黑体"/>
          <w:b w:val="0"/>
          <w:sz w:val="32"/>
          <w:szCs w:val="32"/>
          <w:lang w:eastAsia="zh-CN"/>
        </w:rPr>
        <w:t>同步下达任务清单和绩效目标。</w:t>
      </w:r>
      <w:r>
        <w:rPr>
          <w:rFonts w:hint="eastAsia" w:ascii="仿宋_GB2312" w:eastAsia="仿宋_GB2312"/>
          <w:sz w:val="32"/>
          <w:szCs w:val="32"/>
          <w:lang w:eastAsia="zh-CN"/>
        </w:rPr>
        <w:t>市级业务主管部门根据各类涉农资金牵头部门报市涉农资金统筹整合领导小组备案的资金分配方案、任务清单和绩效目标，在市财政部门下达资金的同时，同步下达任务清单和绩效目标</w:t>
      </w:r>
      <w:r>
        <w:rPr>
          <w:rFonts w:hint="eastAsia" w:ascii="仿宋_GB2312" w:eastAsia="仿宋_GB2312"/>
          <w:w w:val="90"/>
          <w:sz w:val="32"/>
          <w:szCs w:val="32"/>
          <w:lang w:eastAsia="zh-CN"/>
        </w:rPr>
        <w:t>。</w:t>
      </w:r>
      <w:r>
        <w:rPr>
          <w:rFonts w:hint="eastAsia" w:ascii="仿宋_GB2312" w:eastAsia="仿宋_GB2312"/>
          <w:sz w:val="32"/>
          <w:szCs w:val="32"/>
          <w:lang w:eastAsia="zh-CN"/>
        </w:rPr>
        <w:t>任务清单应符合以下要求: (一)区分约束性任务和指导性任务</w:t>
      </w:r>
      <w:r>
        <w:rPr>
          <w:rFonts w:hint="eastAsia" w:ascii="仿宋_GB2312" w:eastAsia="仿宋_GB2312"/>
          <w:w w:val="90"/>
          <w:sz w:val="32"/>
          <w:szCs w:val="32"/>
          <w:lang w:eastAsia="zh-CN"/>
        </w:rPr>
        <w:t xml:space="preserve"> </w:t>
      </w:r>
      <w:r>
        <w:rPr>
          <w:rFonts w:hint="eastAsia" w:ascii="仿宋_GB2312" w:eastAsia="仿宋_GB2312"/>
          <w:sz w:val="32"/>
          <w:szCs w:val="32"/>
          <w:lang w:eastAsia="zh-CN"/>
        </w:rPr>
        <w:t>(二)各项任务具有明确的量化指标及完成任务的基本要求</w:t>
      </w:r>
      <w:r>
        <w:rPr>
          <w:rFonts w:hint="eastAsia" w:ascii="仿宋_GB2312" w:eastAsia="仿宋_GB2312"/>
          <w:w w:val="90"/>
          <w:sz w:val="32"/>
          <w:szCs w:val="32"/>
          <w:lang w:eastAsia="zh-CN"/>
        </w:rPr>
        <w:t>。</w:t>
      </w:r>
      <w:r>
        <w:rPr>
          <w:rFonts w:hint="eastAsia" w:ascii="仿宋_GB2312" w:eastAsia="仿宋_GB2312"/>
          <w:sz w:val="32"/>
          <w:szCs w:val="32"/>
          <w:lang w:eastAsia="zh-CN"/>
        </w:rPr>
        <w:t>(三) 对需多年实施</w:t>
      </w:r>
      <w:r>
        <w:rPr>
          <w:rFonts w:hint="eastAsia" w:ascii="仿宋_GB2312" w:eastAsia="仿宋_GB2312"/>
          <w:w w:val="90"/>
          <w:sz w:val="32"/>
          <w:szCs w:val="32"/>
          <w:lang w:eastAsia="zh-CN"/>
        </w:rPr>
        <w:t xml:space="preserve">、 </w:t>
      </w:r>
      <w:r>
        <w:rPr>
          <w:rFonts w:hint="eastAsia" w:ascii="仿宋_GB2312" w:eastAsia="仿宋_GB2312"/>
          <w:sz w:val="32"/>
          <w:szCs w:val="32"/>
          <w:lang w:eastAsia="zh-CN"/>
        </w:rPr>
        <w:t>滚动安排的任务</w:t>
      </w:r>
      <w:r>
        <w:rPr>
          <w:rFonts w:hint="eastAsia" w:ascii="仿宋_GB2312" w:eastAsia="仿宋_GB2312"/>
          <w:w w:val="90"/>
          <w:sz w:val="32"/>
          <w:szCs w:val="32"/>
          <w:lang w:eastAsia="zh-CN"/>
        </w:rPr>
        <w:t>，</w:t>
      </w:r>
      <w:r>
        <w:rPr>
          <w:rFonts w:hint="eastAsia" w:ascii="仿宋_GB2312" w:eastAsia="仿宋_GB2312"/>
          <w:sz w:val="32"/>
          <w:szCs w:val="32"/>
          <w:lang w:eastAsia="zh-CN"/>
        </w:rPr>
        <w:t>应合理界定每年任务量</w:t>
      </w:r>
      <w:r>
        <w:rPr>
          <w:rFonts w:hint="eastAsia" w:ascii="仿宋_GB2312" w:eastAsia="仿宋_GB2312"/>
          <w:w w:val="90"/>
          <w:sz w:val="32"/>
          <w:szCs w:val="32"/>
          <w:lang w:eastAsia="zh-CN"/>
        </w:rPr>
        <w:t>，</w:t>
      </w:r>
      <w:r>
        <w:rPr>
          <w:rFonts w:hint="eastAsia" w:ascii="仿宋_GB2312" w:eastAsia="仿宋_GB2312"/>
          <w:sz w:val="32"/>
          <w:szCs w:val="32"/>
          <w:lang w:eastAsia="zh-CN"/>
        </w:rPr>
        <w:t>对需在特定时期施工或季</w:t>
      </w:r>
      <w:r>
        <w:rPr>
          <w:rFonts w:hint="eastAsia" w:ascii="仿宋_GB2312" w:eastAsia="仿宋_GB2312"/>
          <w:w w:val="95"/>
          <w:sz w:val="32"/>
          <w:szCs w:val="32"/>
          <w:lang w:eastAsia="zh-CN"/>
        </w:rPr>
        <w:t>节性强的任务</w:t>
      </w:r>
      <w:r>
        <w:rPr>
          <w:rFonts w:hint="eastAsia" w:ascii="仿宋_GB2312" w:eastAsia="仿宋_GB2312"/>
          <w:w w:val="90"/>
          <w:sz w:val="32"/>
          <w:szCs w:val="32"/>
          <w:lang w:eastAsia="zh-CN"/>
        </w:rPr>
        <w:t>，</w:t>
      </w:r>
      <w:r>
        <w:rPr>
          <w:rFonts w:hint="eastAsia" w:ascii="仿宋_GB2312" w:eastAsia="仿宋_GB2312"/>
          <w:w w:val="95"/>
          <w:sz w:val="32"/>
          <w:szCs w:val="32"/>
          <w:lang w:eastAsia="zh-CN"/>
        </w:rPr>
        <w:t>应充分考虑其完成时限</w:t>
      </w:r>
      <w:r>
        <w:rPr>
          <w:rFonts w:hint="eastAsia" w:ascii="仿宋_GB2312" w:eastAsia="仿宋_GB2312"/>
          <w:w w:val="90"/>
          <w:sz w:val="32"/>
          <w:szCs w:val="32"/>
          <w:lang w:eastAsia="zh-CN"/>
        </w:rPr>
        <w:t>。</w:t>
      </w:r>
    </w:p>
    <w:p>
      <w:pPr>
        <w:pStyle w:val="4"/>
        <w:spacing w:before="0" w:line="579" w:lineRule="exact"/>
        <w:ind w:right="109" w:firstLine="640" w:firstLineChars="200"/>
        <w:jc w:val="both"/>
        <w:rPr>
          <w:rFonts w:hint="eastAsia" w:ascii="仿宋_GB2312" w:hAnsi="仿宋_GB2312" w:eastAsia="仿宋_GB2312" w:cs="仿宋_GB2312"/>
          <w:spacing w:val="8"/>
          <w:sz w:val="32"/>
          <w:szCs w:val="32"/>
          <w:shd w:val="clear" w:color="auto" w:fill="FFFFFF"/>
          <w:lang w:eastAsia="zh-CN"/>
        </w:rPr>
      </w:pPr>
      <w:r>
        <w:rPr>
          <w:rFonts w:hint="eastAsia" w:ascii="黑体" w:eastAsia="黑体"/>
          <w:b w:val="0"/>
          <w:sz w:val="32"/>
          <w:szCs w:val="32"/>
          <w:lang w:eastAsia="zh-CN"/>
        </w:rPr>
        <w:t>六、明确区级主体责任。</w:t>
      </w:r>
      <w:r>
        <w:rPr>
          <w:rFonts w:hint="eastAsia" w:ascii="仿宋_GB2312" w:eastAsia="仿宋_GB2312"/>
          <w:sz w:val="32"/>
          <w:szCs w:val="32"/>
          <w:lang w:eastAsia="zh-CN"/>
        </w:rPr>
        <w:t>市下放管理权限，建立目标到区、任务到区、资金到区、权责到区的“四到区”涉农资金管理体制。市级负责管理监督，区级负责组织实施，各区（功能区）人民政府根据上级下达的资金和任务清单，结合自身实际，按照轻重缓急的原则细化分解，明确资金使用方向和任务完成计划，并组织项目实施和竣工验收。在完成约束性任务后，区级可将剩余资金调剂用于其他涉农项目，</w:t>
      </w:r>
      <w:r>
        <w:rPr>
          <w:rFonts w:hint="eastAsia" w:ascii="仿宋_GB2312" w:hAnsi="仿宋_GB2312" w:eastAsia="仿宋_GB2312" w:cs="仿宋_GB2312"/>
          <w:color w:val="333333"/>
          <w:spacing w:val="8"/>
          <w:sz w:val="32"/>
          <w:szCs w:val="32"/>
          <w:shd w:val="clear" w:color="auto" w:fill="FFFFFF"/>
          <w:lang w:eastAsia="zh-CN"/>
        </w:rPr>
        <w:t>调剂</w:t>
      </w:r>
      <w:r>
        <w:rPr>
          <w:rFonts w:hint="eastAsia" w:ascii="仿宋_GB2312" w:hAnsi="仿宋_GB2312" w:eastAsia="仿宋_GB2312" w:cs="仿宋_GB2312"/>
          <w:spacing w:val="8"/>
          <w:sz w:val="32"/>
          <w:szCs w:val="32"/>
          <w:shd w:val="clear" w:color="auto" w:fill="FFFFFF"/>
          <w:lang w:eastAsia="zh-CN"/>
        </w:rPr>
        <w:t>范围原则上为一般公共预算支出功能分类科目的“农林水支出”方面项目，但不得用于农村医疗、社保、教育等另有保障措施的基本公共服务领域等项目。</w:t>
      </w:r>
    </w:p>
    <w:p>
      <w:pPr>
        <w:pStyle w:val="4"/>
        <w:spacing w:before="0" w:line="579" w:lineRule="exact"/>
        <w:ind w:right="109" w:firstLine="640" w:firstLineChars="200"/>
        <w:jc w:val="both"/>
        <w:rPr>
          <w:rFonts w:hint="eastAsia" w:ascii="仿宋_GB2312" w:eastAsia="仿宋_GB2312"/>
          <w:sz w:val="32"/>
          <w:szCs w:val="32"/>
          <w:lang w:eastAsia="zh-CN"/>
        </w:rPr>
      </w:pPr>
      <w:r>
        <w:rPr>
          <w:rFonts w:hint="eastAsia" w:ascii="黑体" w:eastAsia="黑体"/>
          <w:b w:val="0"/>
          <w:sz w:val="32"/>
          <w:szCs w:val="32"/>
          <w:lang w:eastAsia="zh-CN"/>
        </w:rPr>
        <w:t>七</w:t>
      </w:r>
      <w:r>
        <w:rPr>
          <w:rFonts w:hint="eastAsia" w:ascii="黑体" w:eastAsia="黑体"/>
          <w:b w:val="0"/>
          <w:w w:val="80"/>
          <w:sz w:val="32"/>
          <w:szCs w:val="32"/>
          <w:lang w:eastAsia="zh-CN"/>
        </w:rPr>
        <w:t>、</w:t>
      </w:r>
      <w:r>
        <w:rPr>
          <w:rFonts w:hint="eastAsia" w:ascii="黑体" w:eastAsia="黑体"/>
          <w:b w:val="0"/>
          <w:sz w:val="32"/>
          <w:szCs w:val="32"/>
          <w:lang w:eastAsia="zh-CN"/>
        </w:rPr>
        <w:t>加强涉农资金监管</w:t>
      </w:r>
      <w:r>
        <w:rPr>
          <w:rFonts w:hint="eastAsia" w:ascii="黑体" w:eastAsia="黑体"/>
          <w:b w:val="0"/>
          <w:w w:val="80"/>
          <w:sz w:val="32"/>
          <w:szCs w:val="32"/>
          <w:lang w:eastAsia="zh-CN"/>
        </w:rPr>
        <w:t>。</w:t>
      </w:r>
      <w:r>
        <w:rPr>
          <w:rFonts w:hint="eastAsia" w:ascii="仿宋_GB2312" w:eastAsia="仿宋_GB2312"/>
          <w:sz w:val="32"/>
          <w:szCs w:val="32"/>
          <w:lang w:eastAsia="zh-CN"/>
        </w:rPr>
        <w:t>预算年度终了及预算执行完毕</w:t>
      </w:r>
      <w:r>
        <w:rPr>
          <w:rFonts w:hint="eastAsia" w:ascii="仿宋_GB2312" w:eastAsia="仿宋_GB2312"/>
          <w:w w:val="80"/>
          <w:sz w:val="32"/>
          <w:szCs w:val="32"/>
          <w:lang w:eastAsia="zh-CN"/>
        </w:rPr>
        <w:t>，</w:t>
      </w:r>
      <w:r>
        <w:rPr>
          <w:rFonts w:hint="eastAsia" w:ascii="仿宋_GB2312" w:eastAsia="仿宋_GB2312"/>
          <w:sz w:val="32"/>
          <w:szCs w:val="32"/>
          <w:lang w:eastAsia="zh-CN"/>
        </w:rPr>
        <w:t>由各类涉农资金市级牵头部门会同相关业务主管部门对约束性任务开展绩效考核</w:t>
      </w:r>
      <w:r>
        <w:rPr>
          <w:rFonts w:hint="eastAsia" w:ascii="仿宋_GB2312" w:eastAsia="仿宋_GB2312"/>
          <w:w w:val="80"/>
          <w:sz w:val="32"/>
          <w:szCs w:val="32"/>
          <w:lang w:eastAsia="zh-CN"/>
        </w:rPr>
        <w:t>，</w:t>
      </w:r>
      <w:r>
        <w:rPr>
          <w:rFonts w:hint="eastAsia" w:ascii="仿宋_GB2312" w:eastAsia="仿宋_GB2312"/>
          <w:sz w:val="32"/>
          <w:szCs w:val="32"/>
          <w:lang w:eastAsia="zh-CN"/>
        </w:rPr>
        <w:t>形成分类涉农资金绩效考核自评报告报市财政部门</w:t>
      </w:r>
      <w:r>
        <w:rPr>
          <w:rFonts w:hint="eastAsia" w:ascii="仿宋_GB2312" w:eastAsia="仿宋_GB2312"/>
          <w:w w:val="80"/>
          <w:sz w:val="32"/>
          <w:szCs w:val="32"/>
          <w:lang w:eastAsia="zh-CN"/>
        </w:rPr>
        <w:t>，</w:t>
      </w:r>
      <w:r>
        <w:rPr>
          <w:rFonts w:hint="eastAsia" w:ascii="仿宋_GB2312" w:eastAsia="仿宋_GB2312"/>
          <w:sz w:val="32"/>
          <w:szCs w:val="32"/>
          <w:lang w:eastAsia="zh-CN"/>
        </w:rPr>
        <w:t>市财政部门按有关规定对重点涉农项目开展重点绩效评价</w:t>
      </w:r>
      <w:r>
        <w:rPr>
          <w:rFonts w:hint="eastAsia" w:ascii="仿宋_GB2312" w:eastAsia="仿宋_GB2312"/>
          <w:w w:val="80"/>
          <w:sz w:val="32"/>
          <w:szCs w:val="32"/>
          <w:lang w:eastAsia="zh-CN"/>
        </w:rPr>
        <w:t>，</w:t>
      </w:r>
      <w:r>
        <w:rPr>
          <w:rFonts w:hint="eastAsia" w:ascii="仿宋_GB2312" w:eastAsia="仿宋_GB2312"/>
          <w:sz w:val="32"/>
          <w:szCs w:val="32"/>
          <w:lang w:eastAsia="zh-CN"/>
        </w:rPr>
        <w:t>绩效</w:t>
      </w:r>
      <w:r>
        <w:rPr>
          <w:rFonts w:hint="eastAsia" w:ascii="仿宋_GB2312" w:hAnsi="仿宋_GB2312" w:eastAsia="仿宋_GB2312" w:cs="仿宋_GB2312"/>
          <w:spacing w:val="8"/>
          <w:sz w:val="32"/>
          <w:szCs w:val="32"/>
          <w:shd w:val="clear" w:color="auto" w:fill="FFFFFF"/>
          <w:lang w:eastAsia="zh-CN"/>
        </w:rPr>
        <w:t>评价结果作为后续年度资金安排依</w:t>
      </w:r>
      <w:r>
        <w:rPr>
          <w:rFonts w:hint="eastAsia" w:ascii="仿宋_GB2312" w:eastAsia="仿宋_GB2312"/>
          <w:sz w:val="32"/>
          <w:szCs w:val="32"/>
          <w:lang w:eastAsia="zh-CN"/>
        </w:rPr>
        <w:t>据，市审计部门按照“谁审批、谁使用、谁负责”的原则，按规定对负责资金分配使用的市级业务主管部门和各区进行审计监督，市级业务主管部门及各区要主动接受人大和审计等有关部门的监督。</w:t>
      </w:r>
    </w:p>
    <w:p>
      <w:pPr>
        <w:pStyle w:val="4"/>
        <w:spacing w:line="579" w:lineRule="exact"/>
        <w:jc w:val="both"/>
        <w:rPr>
          <w:rFonts w:hint="eastAsia" w:ascii="仿宋_GB2312" w:eastAsia="仿宋_GB2312"/>
          <w:sz w:val="32"/>
          <w:szCs w:val="32"/>
          <w:lang w:eastAsia="zh-CN"/>
        </w:rPr>
      </w:pPr>
    </w:p>
    <w:p>
      <w:pPr>
        <w:pStyle w:val="4"/>
        <w:spacing w:line="579" w:lineRule="exact"/>
        <w:jc w:val="both"/>
        <w:rPr>
          <w:rFonts w:hint="eastAsia" w:ascii="仿宋_GB2312" w:eastAsia="仿宋_GB2312"/>
          <w:sz w:val="32"/>
          <w:szCs w:val="32"/>
          <w:lang w:eastAsia="zh-CN"/>
        </w:rPr>
      </w:pPr>
    </w:p>
    <w:p>
      <w:pPr>
        <w:pStyle w:val="4"/>
        <w:spacing w:line="579" w:lineRule="exact"/>
        <w:jc w:val="both"/>
        <w:rPr>
          <w:rFonts w:hint="eastAsia" w:ascii="仿宋_GB2312" w:eastAsia="仿宋_GB2312"/>
          <w:sz w:val="32"/>
          <w:szCs w:val="32"/>
          <w:lang w:eastAsia="zh-CN"/>
        </w:rPr>
      </w:pPr>
    </w:p>
    <w:p>
      <w:pPr>
        <w:pStyle w:val="4"/>
        <w:spacing w:line="579" w:lineRule="exact"/>
        <w:jc w:val="both"/>
        <w:rPr>
          <w:rFonts w:hint="eastAsia" w:ascii="仿宋_GB2312" w:eastAsia="仿宋_GB2312"/>
          <w:sz w:val="32"/>
          <w:szCs w:val="32"/>
          <w:lang w:eastAsia="zh-CN"/>
        </w:rPr>
      </w:pPr>
    </w:p>
    <w:p>
      <w:pPr>
        <w:pStyle w:val="4"/>
        <w:spacing w:line="579" w:lineRule="exact"/>
        <w:jc w:val="both"/>
        <w:rPr>
          <w:rFonts w:hint="eastAsia" w:ascii="仿宋_GB2312" w:eastAsia="仿宋_GB2312"/>
          <w:sz w:val="32"/>
          <w:szCs w:val="32"/>
          <w:lang w:eastAsia="zh-CN"/>
        </w:rPr>
      </w:pPr>
    </w:p>
    <w:p>
      <w:pPr>
        <w:pStyle w:val="4"/>
        <w:spacing w:line="579" w:lineRule="exact"/>
        <w:jc w:val="both"/>
        <w:rPr>
          <w:rFonts w:hint="eastAsia" w:ascii="仿宋_GB2312" w:eastAsia="仿宋_GB2312"/>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C5E3D"/>
    <w:rsid w:val="0D27465F"/>
    <w:rsid w:val="60FC5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autoSpaceDE w:val="0"/>
      <w:autoSpaceDN w:val="0"/>
      <w:spacing w:before="2"/>
      <w:ind w:left="586"/>
      <w:jc w:val="left"/>
      <w:outlineLvl w:val="0"/>
    </w:pPr>
    <w:rPr>
      <w:rFonts w:ascii="宋体" w:hAnsi="宋体" w:cs="宋体"/>
      <w:kern w:val="0"/>
      <w:sz w:val="39"/>
      <w:szCs w:val="39"/>
      <w:lang w:eastAsia="en-US"/>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eastAsia="仿宋_GB2312"/>
      <w:sz w:val="32"/>
      <w:szCs w:val="32"/>
    </w:rPr>
  </w:style>
  <w:style w:type="paragraph" w:styleId="4">
    <w:name w:val="Body Text"/>
    <w:basedOn w:val="1"/>
    <w:uiPriority w:val="0"/>
    <w:pPr>
      <w:autoSpaceDE w:val="0"/>
      <w:autoSpaceDN w:val="0"/>
      <w:jc w:val="left"/>
    </w:pPr>
    <w:rPr>
      <w:rFonts w:ascii="宋体" w:hAnsi="宋体" w:cs="宋体"/>
      <w:kern w:val="0"/>
      <w:sz w:val="29"/>
      <w:szCs w:val="29"/>
      <w:lang w:eastAsia="en-US"/>
    </w:rPr>
  </w:style>
  <w:style w:type="paragraph" w:customStyle="1" w:styleId="7">
    <w:name w:val="Table Paragraph"/>
    <w:basedOn w:val="1"/>
    <w:uiPriority w:val="0"/>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2019-09-06T02:29:00Z</dcterms:created>
  <dc:creator>wenzhi</dc:creator>
  <cp:lastModifiedBy>wenzhi</cp:lastModifiedBy>
  <dcterms:modified xsi:type="dcterms:W3CDTF">2019-09-06T02:30:52Z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