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50B" w:rsidRDefault="00EE050B" w:rsidP="00EE050B">
      <w:pPr>
        <w:spacing w:line="579" w:lineRule="exact"/>
        <w:jc w:val="left"/>
        <w:rPr>
          <w:rFonts w:ascii="方正小标宋简体" w:eastAsia="方正小标宋简体" w:hAnsi="宋体" w:cs="宋体" w:hint="eastAsia"/>
          <w:bCs/>
          <w:w w:val="95"/>
          <w:kern w:val="0"/>
          <w:sz w:val="32"/>
          <w:szCs w:val="32"/>
        </w:rPr>
      </w:pPr>
      <w:r>
        <w:rPr>
          <w:rFonts w:ascii="宋体" w:hAnsi="宋体" w:cs="宋体" w:hint="eastAsia"/>
          <w:bCs/>
          <w:w w:val="95"/>
          <w:kern w:val="0"/>
          <w:sz w:val="24"/>
          <w:szCs w:val="24"/>
        </w:rPr>
        <w:t xml:space="preserve">附件          </w:t>
      </w:r>
      <w:bookmarkStart w:id="0" w:name="_GoBack"/>
      <w:r>
        <w:rPr>
          <w:rFonts w:ascii="方正小标宋简体" w:eastAsia="方正小标宋简体" w:hAnsi="宋体" w:cs="宋体" w:hint="eastAsia"/>
          <w:bCs/>
          <w:w w:val="95"/>
          <w:kern w:val="0"/>
          <w:sz w:val="32"/>
          <w:szCs w:val="32"/>
        </w:rPr>
        <w:t>横琴自贸试验片区第三批可在全市复制推广的改革创新措施一览表</w:t>
      </w:r>
      <w:bookmarkEnd w:id="0"/>
    </w:p>
    <w:p w:rsidR="00EE050B" w:rsidRDefault="00EE050B" w:rsidP="00EE050B">
      <w:pPr>
        <w:spacing w:line="80" w:lineRule="exac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1488"/>
        <w:gridCol w:w="1260"/>
        <w:gridCol w:w="4894"/>
        <w:gridCol w:w="5127"/>
        <w:gridCol w:w="1260"/>
      </w:tblGrid>
      <w:tr w:rsidR="00EE050B" w:rsidTr="007C666E">
        <w:trPr>
          <w:tblHeader/>
          <w:jc w:val="center"/>
        </w:trPr>
        <w:tc>
          <w:tcPr>
            <w:tcW w:w="515" w:type="dxa"/>
            <w:vAlign w:val="center"/>
          </w:tcPr>
          <w:p w:rsidR="00EE050B" w:rsidRDefault="00EE050B" w:rsidP="007C666E">
            <w:pPr>
              <w:spacing w:line="320" w:lineRule="exact"/>
              <w:jc w:val="center"/>
              <w:rPr>
                <w:rFonts w:ascii="黑体" w:eastAsia="黑体" w:hAnsi="黑体" w:cs="宋体" w:hint="eastAsia"/>
                <w:sz w:val="24"/>
                <w:szCs w:val="24"/>
              </w:rPr>
            </w:pPr>
            <w:r>
              <w:rPr>
                <w:rFonts w:ascii="黑体" w:eastAsia="黑体" w:hAnsi="黑体" w:cs="宋体" w:hint="eastAsia"/>
                <w:sz w:val="24"/>
                <w:szCs w:val="24"/>
              </w:rPr>
              <w:t>序号</w:t>
            </w:r>
          </w:p>
        </w:tc>
        <w:tc>
          <w:tcPr>
            <w:tcW w:w="1488" w:type="dxa"/>
            <w:vAlign w:val="center"/>
          </w:tcPr>
          <w:p w:rsidR="00EE050B" w:rsidRDefault="00EE050B" w:rsidP="007C666E">
            <w:pPr>
              <w:spacing w:line="320" w:lineRule="exact"/>
              <w:jc w:val="center"/>
              <w:rPr>
                <w:rFonts w:ascii="黑体" w:eastAsia="黑体" w:hAnsi="黑体" w:cs="宋体" w:hint="eastAsia"/>
                <w:sz w:val="24"/>
                <w:szCs w:val="24"/>
              </w:rPr>
            </w:pPr>
            <w:r>
              <w:rPr>
                <w:rFonts w:ascii="黑体" w:eastAsia="黑体" w:hAnsi="黑体" w:cs="宋体" w:hint="eastAsia"/>
                <w:sz w:val="24"/>
                <w:szCs w:val="24"/>
              </w:rPr>
              <w:t>项目名称</w:t>
            </w:r>
          </w:p>
        </w:tc>
        <w:tc>
          <w:tcPr>
            <w:tcW w:w="1260" w:type="dxa"/>
            <w:vAlign w:val="center"/>
          </w:tcPr>
          <w:p w:rsidR="00EE050B" w:rsidRDefault="00EE050B" w:rsidP="007C666E">
            <w:pPr>
              <w:spacing w:line="320" w:lineRule="exact"/>
              <w:jc w:val="center"/>
              <w:rPr>
                <w:rFonts w:ascii="黑体" w:eastAsia="黑体" w:hAnsi="黑体" w:cs="宋体" w:hint="eastAsia"/>
                <w:sz w:val="24"/>
                <w:szCs w:val="24"/>
              </w:rPr>
            </w:pPr>
            <w:r>
              <w:rPr>
                <w:rFonts w:ascii="黑体" w:eastAsia="黑体" w:hAnsi="黑体" w:cs="宋体" w:hint="eastAsia"/>
                <w:sz w:val="24"/>
                <w:szCs w:val="24"/>
              </w:rPr>
              <w:t>牵头</w:t>
            </w:r>
          </w:p>
          <w:p w:rsidR="00EE050B" w:rsidRDefault="00EE050B" w:rsidP="007C666E">
            <w:pPr>
              <w:spacing w:line="320" w:lineRule="exact"/>
              <w:jc w:val="center"/>
              <w:rPr>
                <w:rFonts w:ascii="黑体" w:eastAsia="黑体" w:hAnsi="黑体" w:cs="宋体" w:hint="eastAsia"/>
                <w:sz w:val="24"/>
                <w:szCs w:val="24"/>
              </w:rPr>
            </w:pPr>
            <w:r>
              <w:rPr>
                <w:rFonts w:ascii="黑体" w:eastAsia="黑体" w:hAnsi="黑体" w:cs="宋体" w:hint="eastAsia"/>
                <w:sz w:val="24"/>
                <w:szCs w:val="24"/>
              </w:rPr>
              <w:t>部门</w:t>
            </w:r>
          </w:p>
        </w:tc>
        <w:tc>
          <w:tcPr>
            <w:tcW w:w="4894" w:type="dxa"/>
            <w:vAlign w:val="center"/>
          </w:tcPr>
          <w:p w:rsidR="00EE050B" w:rsidRDefault="00EE050B" w:rsidP="007C666E">
            <w:pPr>
              <w:spacing w:line="320" w:lineRule="exact"/>
              <w:jc w:val="center"/>
              <w:rPr>
                <w:rFonts w:ascii="黑体" w:eastAsia="黑体" w:hAnsi="黑体" w:cs="宋体" w:hint="eastAsia"/>
                <w:sz w:val="24"/>
                <w:szCs w:val="24"/>
              </w:rPr>
            </w:pPr>
            <w:r>
              <w:rPr>
                <w:rFonts w:ascii="黑体" w:eastAsia="黑体" w:hAnsi="黑体" w:cs="宋体" w:hint="eastAsia"/>
                <w:sz w:val="24"/>
                <w:szCs w:val="24"/>
              </w:rPr>
              <w:t>项目内容</w:t>
            </w:r>
          </w:p>
        </w:tc>
        <w:tc>
          <w:tcPr>
            <w:tcW w:w="5127" w:type="dxa"/>
            <w:vAlign w:val="center"/>
          </w:tcPr>
          <w:p w:rsidR="00EE050B" w:rsidRDefault="00EE050B" w:rsidP="007C666E">
            <w:pPr>
              <w:spacing w:line="320" w:lineRule="exact"/>
              <w:jc w:val="center"/>
              <w:rPr>
                <w:rFonts w:ascii="黑体" w:eastAsia="黑体" w:hAnsi="黑体" w:cs="宋体" w:hint="eastAsia"/>
                <w:sz w:val="24"/>
                <w:szCs w:val="24"/>
              </w:rPr>
            </w:pPr>
            <w:r>
              <w:rPr>
                <w:rFonts w:ascii="黑体" w:eastAsia="黑体" w:hAnsi="黑体" w:cs="宋体" w:hint="eastAsia"/>
                <w:sz w:val="24"/>
                <w:szCs w:val="24"/>
              </w:rPr>
              <w:t>项目的</w:t>
            </w:r>
          </w:p>
          <w:p w:rsidR="00EE050B" w:rsidRDefault="00EE050B" w:rsidP="007C666E">
            <w:pPr>
              <w:spacing w:line="320" w:lineRule="exact"/>
              <w:jc w:val="center"/>
              <w:rPr>
                <w:rFonts w:ascii="黑体" w:eastAsia="黑体" w:hAnsi="黑体" w:cs="宋体" w:hint="eastAsia"/>
                <w:sz w:val="24"/>
                <w:szCs w:val="24"/>
              </w:rPr>
            </w:pPr>
            <w:r>
              <w:rPr>
                <w:rFonts w:ascii="黑体" w:eastAsia="黑体" w:hAnsi="黑体" w:cs="宋体" w:hint="eastAsia"/>
                <w:sz w:val="24"/>
                <w:szCs w:val="24"/>
              </w:rPr>
              <w:t>率先性或示范性</w:t>
            </w:r>
          </w:p>
        </w:tc>
        <w:tc>
          <w:tcPr>
            <w:tcW w:w="1260" w:type="dxa"/>
            <w:vAlign w:val="center"/>
          </w:tcPr>
          <w:p w:rsidR="00EE050B" w:rsidRDefault="00EE050B" w:rsidP="007C666E">
            <w:pPr>
              <w:spacing w:line="320" w:lineRule="exact"/>
              <w:jc w:val="center"/>
              <w:rPr>
                <w:rFonts w:ascii="黑体" w:eastAsia="黑体" w:hAnsi="黑体" w:cs="宋体" w:hint="eastAsia"/>
                <w:sz w:val="24"/>
                <w:szCs w:val="24"/>
              </w:rPr>
            </w:pPr>
            <w:r>
              <w:rPr>
                <w:rFonts w:ascii="黑体" w:eastAsia="黑体" w:hAnsi="黑体" w:cs="宋体" w:hint="eastAsia"/>
                <w:sz w:val="24"/>
                <w:szCs w:val="24"/>
              </w:rPr>
              <w:t>项目可复制推广区域</w:t>
            </w:r>
          </w:p>
        </w:tc>
      </w:tr>
      <w:tr w:rsidR="00EE050B" w:rsidTr="007C666E">
        <w:trPr>
          <w:cantSplit/>
          <w:trHeight w:val="1660"/>
          <w:jc w:val="center"/>
        </w:trPr>
        <w:tc>
          <w:tcPr>
            <w:tcW w:w="515" w:type="dxa"/>
            <w:vAlign w:val="center"/>
          </w:tcPr>
          <w:p w:rsidR="00EE050B" w:rsidRDefault="00EE050B" w:rsidP="007C666E">
            <w:pPr>
              <w:spacing w:line="260" w:lineRule="exact"/>
              <w:jc w:val="center"/>
              <w:rPr>
                <w:rFonts w:ascii="仿宋_GB2312" w:eastAsia="仿宋_GB2312" w:hAnsi="宋体" w:cs="仿宋" w:hint="eastAsia"/>
                <w:b/>
                <w:bCs/>
              </w:rPr>
            </w:pPr>
            <w:r>
              <w:rPr>
                <w:rFonts w:ascii="仿宋_GB2312" w:eastAsia="仿宋_GB2312" w:hAnsi="宋体" w:cs="仿宋" w:hint="eastAsia"/>
                <w:b/>
                <w:bCs/>
              </w:rPr>
              <w:t>1</w:t>
            </w:r>
          </w:p>
        </w:tc>
        <w:tc>
          <w:tcPr>
            <w:tcW w:w="1488" w:type="dxa"/>
            <w:vAlign w:val="center"/>
          </w:tcPr>
          <w:p w:rsidR="00EE050B" w:rsidRDefault="00EE050B" w:rsidP="007C666E">
            <w:pPr>
              <w:spacing w:line="300" w:lineRule="exact"/>
              <w:jc w:val="center"/>
              <w:rPr>
                <w:rFonts w:ascii="仿宋_GB2312" w:eastAsia="仿宋_GB2312" w:hAnsi="宋体" w:cs="仿宋" w:hint="eastAsia"/>
                <w:b/>
                <w:bCs/>
              </w:rPr>
            </w:pPr>
            <w:r>
              <w:rPr>
                <w:rFonts w:ascii="仿宋_GB2312" w:eastAsia="仿宋_GB2312" w:hAnsi="宋体" w:cs="仿宋" w:hint="eastAsia"/>
                <w:b/>
                <w:bCs/>
              </w:rPr>
              <w:t>建立便利化跨境办税新模式</w:t>
            </w:r>
          </w:p>
        </w:tc>
        <w:tc>
          <w:tcPr>
            <w:tcW w:w="1260" w:type="dxa"/>
            <w:vAlign w:val="center"/>
          </w:tcPr>
          <w:p w:rsidR="00EE050B" w:rsidRDefault="00EE050B" w:rsidP="007C666E">
            <w:pPr>
              <w:spacing w:line="300" w:lineRule="exact"/>
              <w:jc w:val="center"/>
              <w:rPr>
                <w:rFonts w:ascii="仿宋_GB2312" w:eastAsia="仿宋_GB2312" w:hAnsi="宋体" w:cs="仿宋" w:hint="eastAsia"/>
                <w:szCs w:val="21"/>
              </w:rPr>
            </w:pPr>
            <w:r>
              <w:rPr>
                <w:rFonts w:ascii="仿宋_GB2312" w:eastAsia="仿宋_GB2312" w:hAnsi="宋体" w:cs="仿宋" w:hint="eastAsia"/>
                <w:szCs w:val="21"/>
              </w:rPr>
              <w:t>市地税局</w:t>
            </w:r>
          </w:p>
        </w:tc>
        <w:tc>
          <w:tcPr>
            <w:tcW w:w="4894" w:type="dxa"/>
            <w:vAlign w:val="center"/>
          </w:tcPr>
          <w:p w:rsidR="00EE050B" w:rsidRDefault="00EE050B" w:rsidP="007C666E">
            <w:pPr>
              <w:widowControl/>
              <w:shd w:val="clear" w:color="auto" w:fill="FFFFFF"/>
              <w:spacing w:line="300" w:lineRule="exact"/>
              <w:ind w:firstLine="420"/>
              <w:rPr>
                <w:rFonts w:ascii="仿宋_GB2312" w:eastAsia="仿宋_GB2312" w:hAnsi="宋体" w:cs="仿宋" w:hint="eastAsia"/>
                <w:kern w:val="0"/>
                <w:szCs w:val="21"/>
              </w:rPr>
            </w:pPr>
            <w:r>
              <w:rPr>
                <w:rFonts w:ascii="仿宋_GB2312" w:eastAsia="仿宋_GB2312" w:hAnsi="宋体" w:cs="仿宋" w:hint="eastAsia"/>
                <w:bCs/>
                <w:kern w:val="0"/>
                <w:szCs w:val="21"/>
              </w:rPr>
              <w:t>一是与香港、澳门银行签订跨境税银合作协议。</w:t>
            </w:r>
            <w:r>
              <w:rPr>
                <w:rFonts w:ascii="仿宋_GB2312" w:eastAsia="仿宋_GB2312" w:hAnsi="宋体" w:cs="仿宋" w:hint="eastAsia"/>
                <w:kern w:val="0"/>
                <w:szCs w:val="21"/>
              </w:rPr>
              <w:t>在港澳银行机构营业厅开设纳税服务点，为港澳纳税人提供全方位的跨境导办服务。</w:t>
            </w:r>
          </w:p>
          <w:p w:rsidR="00EE050B" w:rsidRDefault="00EE050B" w:rsidP="007C666E">
            <w:pPr>
              <w:widowControl/>
              <w:shd w:val="clear" w:color="auto" w:fill="FFFFFF"/>
              <w:spacing w:line="300" w:lineRule="exact"/>
              <w:ind w:firstLine="420"/>
              <w:rPr>
                <w:rFonts w:ascii="仿宋_GB2312" w:eastAsia="仿宋_GB2312" w:hAnsi="宋体" w:cs="仿宋" w:hint="eastAsia"/>
                <w:kern w:val="0"/>
                <w:szCs w:val="21"/>
              </w:rPr>
            </w:pPr>
            <w:r>
              <w:rPr>
                <w:rFonts w:ascii="仿宋_GB2312" w:eastAsia="仿宋_GB2312" w:hAnsi="宋体" w:cs="仿宋" w:hint="eastAsia"/>
                <w:kern w:val="0"/>
                <w:szCs w:val="21"/>
              </w:rPr>
              <w:t>二</w:t>
            </w:r>
            <w:r>
              <w:rPr>
                <w:rFonts w:ascii="仿宋_GB2312" w:eastAsia="仿宋_GB2312" w:hAnsi="宋体" w:cs="仿宋" w:hint="eastAsia"/>
                <w:bCs/>
                <w:kern w:val="0"/>
                <w:szCs w:val="21"/>
              </w:rPr>
              <w:t>是建立完善远程可视办税模式。</w:t>
            </w:r>
            <w:r>
              <w:rPr>
                <w:rFonts w:ascii="仿宋_GB2312" w:eastAsia="仿宋_GB2312" w:hAnsi="宋体" w:cs="仿宋" w:hint="eastAsia"/>
                <w:kern w:val="0"/>
                <w:szCs w:val="21"/>
              </w:rPr>
              <w:t>采用远程桌面和即时文字通讯技术，将办税前台“搬”到纳税人面前，实现纳税人跨境办税。</w:t>
            </w:r>
          </w:p>
          <w:p w:rsidR="00EE050B" w:rsidRDefault="00EE050B" w:rsidP="007C666E">
            <w:pPr>
              <w:widowControl/>
              <w:shd w:val="clear" w:color="auto" w:fill="FFFFFF"/>
              <w:spacing w:line="300" w:lineRule="exact"/>
              <w:ind w:firstLine="420"/>
              <w:rPr>
                <w:rFonts w:ascii="仿宋_GB2312" w:eastAsia="仿宋_GB2312" w:hAnsi="宋体" w:cs="仿宋" w:hint="eastAsia"/>
                <w:kern w:val="0"/>
                <w:szCs w:val="21"/>
              </w:rPr>
            </w:pPr>
            <w:r>
              <w:rPr>
                <w:rFonts w:ascii="仿宋_GB2312" w:eastAsia="仿宋_GB2312" w:hAnsi="宋体" w:cs="仿宋" w:hint="eastAsia"/>
                <w:bCs/>
                <w:kern w:val="0"/>
                <w:szCs w:val="21"/>
              </w:rPr>
              <w:t>三是在全国率先推行跨境电子税票，</w:t>
            </w:r>
            <w:r>
              <w:rPr>
                <w:rFonts w:ascii="仿宋_GB2312" w:eastAsia="仿宋_GB2312" w:hAnsi="宋体" w:cs="仿宋" w:hint="eastAsia"/>
                <w:kern w:val="0"/>
                <w:szCs w:val="21"/>
              </w:rPr>
              <w:t>满足实际经营地在外地的纳税人办税需要，方便在珠海工作的港澳人士、各类高端人才取得税票，为港澳和异地纳税人提供随时随地移动查询打印税收票证的办税体验，节省纳税人办税成本。</w:t>
            </w:r>
          </w:p>
        </w:tc>
        <w:tc>
          <w:tcPr>
            <w:tcW w:w="5127" w:type="dxa"/>
            <w:vAlign w:val="center"/>
          </w:tcPr>
          <w:p w:rsidR="00EE050B" w:rsidRDefault="00EE050B" w:rsidP="007C666E">
            <w:pPr>
              <w:spacing w:line="300" w:lineRule="exact"/>
              <w:ind w:firstLineChars="200" w:firstLine="420"/>
              <w:rPr>
                <w:rFonts w:ascii="仿宋_GB2312" w:eastAsia="仿宋_GB2312" w:hAnsi="宋体" w:cs="仿宋" w:hint="eastAsia"/>
                <w:bCs/>
                <w:kern w:val="0"/>
                <w:szCs w:val="21"/>
              </w:rPr>
            </w:pPr>
            <w:r>
              <w:rPr>
                <w:rFonts w:ascii="仿宋_GB2312" w:eastAsia="仿宋_GB2312" w:hAnsi="宋体" w:cs="仿宋" w:hint="eastAsia"/>
                <w:bCs/>
                <w:kern w:val="0"/>
                <w:szCs w:val="21"/>
              </w:rPr>
              <w:t>一是实现跨境涉税业务办理“零跑动”。通过实时音视频远程交互，实现跨境办税，前台涉税业务均可以通过征纳双方远程音视频和桌面协同的方式共同完成，打造“全业务、全天候、面对面、类前台”的新型跨境办税服务模式。</w:t>
            </w:r>
          </w:p>
          <w:p w:rsidR="00EE050B" w:rsidRDefault="00EE050B" w:rsidP="007C666E">
            <w:pPr>
              <w:spacing w:line="300" w:lineRule="exact"/>
              <w:ind w:firstLineChars="200" w:firstLine="420"/>
              <w:rPr>
                <w:rFonts w:ascii="仿宋_GB2312" w:eastAsia="仿宋_GB2312" w:hAnsi="宋体" w:cs="仿宋" w:hint="eastAsia"/>
                <w:kern w:val="0"/>
                <w:szCs w:val="21"/>
              </w:rPr>
            </w:pPr>
            <w:r>
              <w:rPr>
                <w:rFonts w:ascii="仿宋_GB2312" w:eastAsia="仿宋_GB2312" w:hAnsi="宋体" w:cs="仿宋" w:hint="eastAsia"/>
                <w:bCs/>
                <w:kern w:val="0"/>
                <w:szCs w:val="21"/>
              </w:rPr>
              <w:t>二是实现跨境办税“同城同质”。与港澳银行合作，在香港、澳门相关银行机构营业厅开设纳税服务点，完善涉税业务导办链条，各营业厅安排专人辅导港澳纳税人办理涉税业务，为香港、澳门纳税人提供在珠海的商事登记、账户开立、委托缴款扣税三方协议签订、申报缴税、获取电子税票等“一条龙”的导办业务，进一步提升港澳纳税人获得感。</w:t>
            </w:r>
          </w:p>
        </w:tc>
        <w:tc>
          <w:tcPr>
            <w:tcW w:w="1260" w:type="dxa"/>
            <w:vAlign w:val="center"/>
          </w:tcPr>
          <w:p w:rsidR="00EE050B" w:rsidRDefault="00EE050B" w:rsidP="007C666E">
            <w:pPr>
              <w:spacing w:line="260" w:lineRule="exact"/>
              <w:jc w:val="center"/>
              <w:rPr>
                <w:rFonts w:ascii="仿宋_GB2312" w:eastAsia="仿宋_GB2312" w:hAnsi="宋体" w:cs="仿宋" w:hint="eastAsia"/>
                <w:szCs w:val="21"/>
              </w:rPr>
            </w:pPr>
            <w:r>
              <w:rPr>
                <w:rFonts w:ascii="仿宋_GB2312" w:eastAsia="仿宋_GB2312" w:hAnsi="宋体" w:cs="仿宋" w:hint="eastAsia"/>
                <w:szCs w:val="21"/>
              </w:rPr>
              <w:t>全市</w:t>
            </w:r>
          </w:p>
        </w:tc>
      </w:tr>
      <w:tr w:rsidR="00EE050B" w:rsidTr="007C666E">
        <w:trPr>
          <w:cantSplit/>
          <w:trHeight w:val="1660"/>
          <w:jc w:val="center"/>
        </w:trPr>
        <w:tc>
          <w:tcPr>
            <w:tcW w:w="515" w:type="dxa"/>
            <w:vAlign w:val="center"/>
          </w:tcPr>
          <w:p w:rsidR="00EE050B" w:rsidRDefault="00EE050B" w:rsidP="007C666E">
            <w:pPr>
              <w:spacing w:line="300" w:lineRule="exact"/>
              <w:jc w:val="center"/>
              <w:rPr>
                <w:rFonts w:ascii="仿宋_GB2312" w:eastAsia="仿宋_GB2312" w:hAnsi="宋体" w:cs="仿宋" w:hint="eastAsia"/>
                <w:b/>
                <w:bCs/>
              </w:rPr>
            </w:pPr>
            <w:r>
              <w:rPr>
                <w:rFonts w:ascii="仿宋_GB2312" w:eastAsia="仿宋_GB2312" w:hAnsi="宋体" w:cs="仿宋" w:hint="eastAsia"/>
                <w:b/>
                <w:bCs/>
              </w:rPr>
              <w:t>2</w:t>
            </w:r>
          </w:p>
        </w:tc>
        <w:tc>
          <w:tcPr>
            <w:tcW w:w="1488" w:type="dxa"/>
            <w:vAlign w:val="center"/>
          </w:tcPr>
          <w:p w:rsidR="00EE050B" w:rsidRDefault="00EE050B" w:rsidP="007C666E">
            <w:pPr>
              <w:spacing w:line="300" w:lineRule="exact"/>
              <w:jc w:val="center"/>
              <w:rPr>
                <w:rFonts w:ascii="仿宋_GB2312" w:eastAsia="仿宋_GB2312" w:hAnsi="宋体" w:cs="仿宋" w:hint="eastAsia"/>
                <w:b/>
                <w:bCs/>
              </w:rPr>
            </w:pPr>
            <w:r>
              <w:rPr>
                <w:rFonts w:ascii="仿宋_GB2312" w:eastAsia="仿宋_GB2312" w:hAnsi="宋体" w:cs="仿宋" w:hint="eastAsia"/>
                <w:b/>
                <w:bCs/>
              </w:rPr>
              <w:t>创新电子税票共享应用模式</w:t>
            </w:r>
          </w:p>
        </w:tc>
        <w:tc>
          <w:tcPr>
            <w:tcW w:w="1260" w:type="dxa"/>
            <w:vAlign w:val="center"/>
          </w:tcPr>
          <w:p w:rsidR="00EE050B" w:rsidRDefault="00EE050B" w:rsidP="007C666E">
            <w:pPr>
              <w:spacing w:line="300" w:lineRule="exact"/>
              <w:jc w:val="center"/>
              <w:rPr>
                <w:rFonts w:ascii="仿宋_GB2312" w:eastAsia="仿宋_GB2312" w:hAnsi="宋体" w:cs="仿宋" w:hint="eastAsia"/>
                <w:szCs w:val="21"/>
              </w:rPr>
            </w:pPr>
            <w:r>
              <w:rPr>
                <w:rFonts w:ascii="仿宋_GB2312" w:eastAsia="仿宋_GB2312" w:hAnsi="宋体" w:cs="仿宋" w:hint="eastAsia"/>
                <w:szCs w:val="21"/>
              </w:rPr>
              <w:t>市地税局</w:t>
            </w:r>
          </w:p>
        </w:tc>
        <w:tc>
          <w:tcPr>
            <w:tcW w:w="4894" w:type="dxa"/>
            <w:vAlign w:val="center"/>
          </w:tcPr>
          <w:p w:rsidR="00EE050B" w:rsidRDefault="00EE050B" w:rsidP="007C666E">
            <w:pPr>
              <w:widowControl/>
              <w:shd w:val="clear" w:color="auto" w:fill="FFFFFF"/>
              <w:spacing w:line="300" w:lineRule="exact"/>
              <w:ind w:firstLine="420"/>
              <w:rPr>
                <w:rFonts w:ascii="仿宋_GB2312" w:eastAsia="仿宋_GB2312" w:hAnsi="宋体" w:cs="仿宋" w:hint="eastAsia"/>
                <w:kern w:val="0"/>
                <w:szCs w:val="21"/>
              </w:rPr>
            </w:pPr>
            <w:r>
              <w:rPr>
                <w:rFonts w:ascii="仿宋_GB2312" w:eastAsia="仿宋_GB2312" w:hAnsi="宋体" w:cs="仿宋" w:hint="eastAsia"/>
                <w:bCs/>
                <w:kern w:val="0"/>
                <w:szCs w:val="21"/>
              </w:rPr>
              <w:t>以互联网新技术深化税收票证领域“放管服”改革，采用CA数字证书登录及权限管理，实现电子税票信息共享应用，相关政府部门可对电子税票数据进行查询、生成、打印和查验，方便纳税人办理有关事项，推动珠海市实现电子一体化政务服务。</w:t>
            </w:r>
          </w:p>
        </w:tc>
        <w:tc>
          <w:tcPr>
            <w:tcW w:w="5127" w:type="dxa"/>
            <w:vAlign w:val="center"/>
          </w:tcPr>
          <w:p w:rsidR="00EE050B" w:rsidRDefault="00EE050B" w:rsidP="007C666E">
            <w:pPr>
              <w:spacing w:line="300" w:lineRule="exact"/>
              <w:ind w:firstLineChars="200" w:firstLine="420"/>
              <w:rPr>
                <w:rFonts w:ascii="仿宋_GB2312" w:eastAsia="仿宋_GB2312" w:hAnsi="宋体" w:cs="仿宋" w:hint="eastAsia"/>
                <w:bCs/>
                <w:kern w:val="0"/>
                <w:szCs w:val="21"/>
              </w:rPr>
            </w:pPr>
            <w:r>
              <w:rPr>
                <w:rFonts w:ascii="仿宋_GB2312" w:eastAsia="仿宋_GB2312" w:hAnsi="宋体" w:cs="仿宋" w:hint="eastAsia"/>
                <w:bCs/>
                <w:kern w:val="0"/>
                <w:szCs w:val="21"/>
              </w:rPr>
              <w:t>一是解决传统手工开具税收票证的难题，纳税人在线即可取得有效完税证明，满足记账核算、办理涉税事务等各项需求。</w:t>
            </w:r>
          </w:p>
          <w:p w:rsidR="00EE050B" w:rsidRDefault="00EE050B" w:rsidP="007C666E">
            <w:pPr>
              <w:spacing w:line="300" w:lineRule="exact"/>
              <w:ind w:firstLineChars="200" w:firstLine="420"/>
              <w:rPr>
                <w:rFonts w:ascii="仿宋_GB2312" w:eastAsia="仿宋_GB2312" w:hAnsi="宋体" w:cs="仿宋" w:hint="eastAsia"/>
                <w:bCs/>
                <w:kern w:val="0"/>
                <w:szCs w:val="21"/>
              </w:rPr>
            </w:pPr>
            <w:r>
              <w:rPr>
                <w:rFonts w:ascii="仿宋_GB2312" w:eastAsia="仿宋_GB2312" w:hAnsi="宋体" w:cs="仿宋" w:hint="eastAsia"/>
                <w:bCs/>
                <w:kern w:val="0"/>
                <w:szCs w:val="21"/>
              </w:rPr>
              <w:t>二是实现电子税票共享应用，创新电子化纳税服务，实现办税“数据流”代替“人跑腿”“政府办”代替“群众跑”，节省办税成本，提升纳税人办税体验，助力打造国际化营商环境。</w:t>
            </w:r>
          </w:p>
        </w:tc>
        <w:tc>
          <w:tcPr>
            <w:tcW w:w="1260" w:type="dxa"/>
            <w:vAlign w:val="center"/>
          </w:tcPr>
          <w:p w:rsidR="00EE050B" w:rsidRDefault="00EE050B" w:rsidP="007C666E">
            <w:pPr>
              <w:spacing w:line="300" w:lineRule="exact"/>
              <w:jc w:val="center"/>
              <w:rPr>
                <w:rFonts w:ascii="仿宋_GB2312" w:eastAsia="仿宋_GB2312" w:hAnsi="宋体" w:cs="仿宋" w:hint="eastAsia"/>
                <w:szCs w:val="21"/>
              </w:rPr>
            </w:pPr>
            <w:r>
              <w:rPr>
                <w:rFonts w:ascii="仿宋_GB2312" w:eastAsia="仿宋_GB2312" w:hAnsi="宋体" w:cs="仿宋" w:hint="eastAsia"/>
                <w:szCs w:val="21"/>
              </w:rPr>
              <w:t>全市</w:t>
            </w:r>
          </w:p>
        </w:tc>
      </w:tr>
      <w:tr w:rsidR="00EE050B" w:rsidTr="007C666E">
        <w:trPr>
          <w:cantSplit/>
          <w:trHeight w:val="1390"/>
          <w:jc w:val="center"/>
        </w:trPr>
        <w:tc>
          <w:tcPr>
            <w:tcW w:w="515" w:type="dxa"/>
            <w:vAlign w:val="center"/>
          </w:tcPr>
          <w:p w:rsidR="00EE050B" w:rsidRDefault="00EE050B" w:rsidP="007C666E">
            <w:pPr>
              <w:spacing w:line="300" w:lineRule="exact"/>
              <w:jc w:val="center"/>
              <w:rPr>
                <w:rFonts w:ascii="仿宋_GB2312" w:eastAsia="仿宋_GB2312" w:hAnsi="宋体" w:cs="仿宋" w:hint="eastAsia"/>
                <w:b/>
                <w:bCs/>
              </w:rPr>
            </w:pPr>
            <w:r>
              <w:rPr>
                <w:rFonts w:ascii="仿宋_GB2312" w:eastAsia="仿宋_GB2312" w:hAnsi="宋体" w:cs="仿宋" w:hint="eastAsia"/>
                <w:b/>
                <w:bCs/>
              </w:rPr>
              <w:lastRenderedPageBreak/>
              <w:t>3</w:t>
            </w:r>
          </w:p>
        </w:tc>
        <w:tc>
          <w:tcPr>
            <w:tcW w:w="1488" w:type="dxa"/>
            <w:vAlign w:val="center"/>
          </w:tcPr>
          <w:p w:rsidR="00EE050B" w:rsidRDefault="00EE050B" w:rsidP="007C666E">
            <w:pPr>
              <w:spacing w:line="300" w:lineRule="exact"/>
              <w:jc w:val="center"/>
              <w:rPr>
                <w:rFonts w:ascii="仿宋_GB2312" w:eastAsia="仿宋_GB2312" w:hAnsi="宋体" w:cs="仿宋" w:hint="eastAsia"/>
                <w:b/>
                <w:bCs/>
              </w:rPr>
            </w:pPr>
            <w:r>
              <w:rPr>
                <w:rFonts w:ascii="仿宋_GB2312" w:eastAsia="仿宋_GB2312" w:hAnsi="宋体" w:cs="仿宋" w:hint="eastAsia"/>
                <w:b/>
                <w:bCs/>
              </w:rPr>
              <w:t>推行旅检小额税款便捷支付</w:t>
            </w:r>
          </w:p>
        </w:tc>
        <w:tc>
          <w:tcPr>
            <w:tcW w:w="1260" w:type="dxa"/>
            <w:vAlign w:val="center"/>
          </w:tcPr>
          <w:p w:rsidR="00EE050B" w:rsidRDefault="00EE050B" w:rsidP="007C666E">
            <w:pPr>
              <w:spacing w:line="300" w:lineRule="exact"/>
              <w:jc w:val="center"/>
              <w:rPr>
                <w:rFonts w:ascii="仿宋_GB2312" w:eastAsia="仿宋_GB2312" w:hAnsi="宋体" w:cs="仿宋" w:hint="eastAsia"/>
                <w:szCs w:val="21"/>
              </w:rPr>
            </w:pPr>
            <w:r>
              <w:rPr>
                <w:rFonts w:ascii="仿宋_GB2312" w:eastAsia="仿宋_GB2312" w:hAnsi="宋体" w:cs="仿宋" w:hint="eastAsia"/>
                <w:szCs w:val="21"/>
              </w:rPr>
              <w:t>拱北海关</w:t>
            </w:r>
          </w:p>
        </w:tc>
        <w:tc>
          <w:tcPr>
            <w:tcW w:w="4894" w:type="dxa"/>
            <w:vAlign w:val="center"/>
          </w:tcPr>
          <w:p w:rsidR="00EE050B" w:rsidRDefault="00EE050B" w:rsidP="007C666E">
            <w:pPr>
              <w:widowControl/>
              <w:shd w:val="clear" w:color="auto" w:fill="FFFFFF"/>
              <w:spacing w:line="300" w:lineRule="exact"/>
              <w:ind w:firstLine="420"/>
              <w:rPr>
                <w:rFonts w:ascii="仿宋_GB2312" w:eastAsia="仿宋_GB2312" w:hAnsi="宋体" w:cs="仿宋" w:hint="eastAsia"/>
                <w:bCs/>
                <w:kern w:val="0"/>
                <w:szCs w:val="21"/>
              </w:rPr>
            </w:pPr>
            <w:r>
              <w:rPr>
                <w:rFonts w:ascii="仿宋_GB2312" w:eastAsia="仿宋_GB2312" w:hAnsi="宋体" w:cs="仿宋" w:hint="eastAsia"/>
                <w:bCs/>
                <w:kern w:val="0"/>
                <w:szCs w:val="21"/>
              </w:rPr>
              <w:t>在口岸旅检通关并且需要交纳税款的旅客，可通过支付宝、</w:t>
            </w:r>
            <w:proofErr w:type="gramStart"/>
            <w:r>
              <w:rPr>
                <w:rFonts w:ascii="仿宋_GB2312" w:eastAsia="仿宋_GB2312" w:hAnsi="宋体" w:cs="仿宋" w:hint="eastAsia"/>
                <w:bCs/>
                <w:kern w:val="0"/>
                <w:szCs w:val="21"/>
              </w:rPr>
              <w:t>微信或</w:t>
            </w:r>
            <w:proofErr w:type="gramEnd"/>
            <w:r>
              <w:rPr>
                <w:rFonts w:ascii="仿宋_GB2312" w:eastAsia="仿宋_GB2312" w:hAnsi="宋体" w:cs="仿宋" w:hint="eastAsia"/>
                <w:bCs/>
                <w:kern w:val="0"/>
                <w:szCs w:val="21"/>
              </w:rPr>
              <w:t>银行POS 机终端完成行李物品的税款支付，解决交纳小额税款受银行营业时段限制问题，便利旅客办理海关手续。</w:t>
            </w:r>
          </w:p>
        </w:tc>
        <w:tc>
          <w:tcPr>
            <w:tcW w:w="5127" w:type="dxa"/>
            <w:vAlign w:val="center"/>
          </w:tcPr>
          <w:p w:rsidR="00EE050B" w:rsidRDefault="00EE050B" w:rsidP="007C666E">
            <w:pPr>
              <w:spacing w:line="300" w:lineRule="exact"/>
              <w:ind w:firstLineChars="200" w:firstLine="420"/>
              <w:rPr>
                <w:rFonts w:ascii="仿宋_GB2312" w:eastAsia="仿宋_GB2312" w:hAnsi="宋体" w:cs="仿宋" w:hint="eastAsia"/>
                <w:kern w:val="0"/>
                <w:szCs w:val="21"/>
              </w:rPr>
            </w:pPr>
            <w:r>
              <w:rPr>
                <w:rFonts w:ascii="仿宋_GB2312" w:eastAsia="仿宋_GB2312" w:hAnsi="宋体" w:cs="仿宋" w:hint="eastAsia"/>
                <w:kern w:val="0"/>
                <w:szCs w:val="21"/>
              </w:rPr>
              <w:t>一是拓展了税款支付方式，方便广大进出境旅客。</w:t>
            </w:r>
          </w:p>
          <w:p w:rsidR="00EE050B" w:rsidRDefault="00EE050B" w:rsidP="007C666E">
            <w:pPr>
              <w:spacing w:line="300" w:lineRule="exact"/>
              <w:ind w:firstLineChars="200" w:firstLine="420"/>
              <w:rPr>
                <w:rFonts w:ascii="仿宋_GB2312" w:eastAsia="仿宋_GB2312" w:hAnsi="宋体" w:cs="仿宋" w:hint="eastAsia"/>
                <w:kern w:val="0"/>
                <w:szCs w:val="21"/>
              </w:rPr>
            </w:pPr>
            <w:r>
              <w:rPr>
                <w:rFonts w:ascii="仿宋_GB2312" w:eastAsia="仿宋_GB2312" w:hAnsi="宋体" w:cs="仿宋" w:hint="eastAsia"/>
                <w:kern w:val="0"/>
                <w:szCs w:val="21"/>
              </w:rPr>
              <w:t>二是解决了旅检现场税款保管问题。</w:t>
            </w:r>
          </w:p>
          <w:p w:rsidR="00EE050B" w:rsidRDefault="00EE050B" w:rsidP="007C666E">
            <w:pPr>
              <w:spacing w:line="300" w:lineRule="exact"/>
              <w:ind w:firstLineChars="200" w:firstLine="420"/>
              <w:rPr>
                <w:rFonts w:ascii="仿宋_GB2312" w:eastAsia="仿宋_GB2312" w:hAnsi="宋体" w:cs="仿宋" w:hint="eastAsia"/>
                <w:bCs/>
                <w:kern w:val="0"/>
                <w:szCs w:val="21"/>
              </w:rPr>
            </w:pPr>
            <w:r>
              <w:rPr>
                <w:rFonts w:ascii="仿宋_GB2312" w:eastAsia="仿宋_GB2312" w:hAnsi="宋体" w:cs="仿宋" w:hint="eastAsia"/>
                <w:kern w:val="0"/>
                <w:szCs w:val="21"/>
              </w:rPr>
              <w:t>三是解决了现场银行非营业时段对税款支付的限制。</w:t>
            </w:r>
          </w:p>
        </w:tc>
        <w:tc>
          <w:tcPr>
            <w:tcW w:w="1260" w:type="dxa"/>
            <w:vAlign w:val="center"/>
          </w:tcPr>
          <w:p w:rsidR="00EE050B" w:rsidRDefault="00EE050B" w:rsidP="007C666E">
            <w:pPr>
              <w:spacing w:line="300" w:lineRule="exact"/>
              <w:jc w:val="center"/>
              <w:rPr>
                <w:rFonts w:ascii="仿宋_GB2312" w:eastAsia="仿宋_GB2312" w:hAnsi="宋体" w:cs="仿宋" w:hint="eastAsia"/>
                <w:szCs w:val="21"/>
              </w:rPr>
            </w:pPr>
            <w:r>
              <w:rPr>
                <w:rFonts w:ascii="仿宋_GB2312" w:eastAsia="仿宋_GB2312" w:hAnsi="宋体" w:cs="仿宋" w:hint="eastAsia"/>
                <w:szCs w:val="21"/>
              </w:rPr>
              <w:t>全市</w:t>
            </w:r>
          </w:p>
        </w:tc>
      </w:tr>
      <w:tr w:rsidR="00EE050B" w:rsidTr="007C666E">
        <w:trPr>
          <w:cantSplit/>
          <w:trHeight w:val="768"/>
          <w:jc w:val="center"/>
        </w:trPr>
        <w:tc>
          <w:tcPr>
            <w:tcW w:w="515" w:type="dxa"/>
            <w:vAlign w:val="center"/>
          </w:tcPr>
          <w:p w:rsidR="00EE050B" w:rsidRDefault="00EE050B" w:rsidP="007C666E">
            <w:pPr>
              <w:spacing w:line="300" w:lineRule="exact"/>
              <w:jc w:val="center"/>
              <w:rPr>
                <w:rFonts w:ascii="仿宋_GB2312" w:eastAsia="仿宋_GB2312" w:hAnsi="宋体" w:cs="仿宋" w:hint="eastAsia"/>
                <w:b/>
                <w:bCs/>
              </w:rPr>
            </w:pPr>
            <w:r>
              <w:rPr>
                <w:rFonts w:ascii="仿宋_GB2312" w:eastAsia="仿宋_GB2312" w:hAnsi="宋体" w:cs="仿宋" w:hint="eastAsia"/>
                <w:b/>
                <w:bCs/>
              </w:rPr>
              <w:t>4</w:t>
            </w:r>
          </w:p>
        </w:tc>
        <w:tc>
          <w:tcPr>
            <w:tcW w:w="1488" w:type="dxa"/>
            <w:vAlign w:val="center"/>
          </w:tcPr>
          <w:p w:rsidR="00EE050B" w:rsidRDefault="00EE050B" w:rsidP="007C666E">
            <w:pPr>
              <w:spacing w:line="300" w:lineRule="exact"/>
              <w:jc w:val="center"/>
              <w:rPr>
                <w:rFonts w:ascii="仿宋_GB2312" w:eastAsia="仿宋_GB2312" w:hAnsi="宋体" w:cs="仿宋" w:hint="eastAsia"/>
                <w:b/>
                <w:bCs/>
                <w:szCs w:val="21"/>
                <w:lang w:val="zh-CN"/>
              </w:rPr>
            </w:pPr>
            <w:r>
              <w:rPr>
                <w:rFonts w:ascii="仿宋_GB2312" w:eastAsia="仿宋_GB2312" w:hAnsi="宋体" w:cs="仿宋" w:hint="eastAsia"/>
                <w:b/>
                <w:bCs/>
              </w:rPr>
              <w:t>建立跨境联合调解机制</w:t>
            </w:r>
          </w:p>
        </w:tc>
        <w:tc>
          <w:tcPr>
            <w:tcW w:w="1260" w:type="dxa"/>
            <w:vAlign w:val="center"/>
          </w:tcPr>
          <w:p w:rsidR="00EE050B" w:rsidRDefault="00EE050B" w:rsidP="007C666E">
            <w:pPr>
              <w:spacing w:line="300" w:lineRule="exact"/>
              <w:jc w:val="center"/>
              <w:rPr>
                <w:rFonts w:ascii="仿宋_GB2312" w:eastAsia="仿宋_GB2312" w:hAnsi="宋体" w:cs="仿宋" w:hint="eastAsia"/>
                <w:kern w:val="0"/>
                <w:szCs w:val="21"/>
              </w:rPr>
            </w:pPr>
            <w:r>
              <w:rPr>
                <w:rFonts w:ascii="仿宋_GB2312" w:eastAsia="仿宋_GB2312" w:hAnsi="宋体" w:cs="仿宋" w:hint="eastAsia"/>
                <w:kern w:val="0"/>
                <w:szCs w:val="21"/>
              </w:rPr>
              <w:t>市中级</w:t>
            </w:r>
          </w:p>
          <w:p w:rsidR="00EE050B" w:rsidRDefault="00EE050B" w:rsidP="007C666E">
            <w:pPr>
              <w:spacing w:line="300" w:lineRule="exact"/>
              <w:jc w:val="center"/>
              <w:rPr>
                <w:rFonts w:ascii="仿宋_GB2312" w:eastAsia="仿宋_GB2312" w:hAnsi="宋体" w:cs="仿宋" w:hint="eastAsia"/>
                <w:szCs w:val="21"/>
              </w:rPr>
            </w:pPr>
            <w:r>
              <w:rPr>
                <w:rFonts w:ascii="仿宋_GB2312" w:eastAsia="仿宋_GB2312" w:hAnsi="宋体" w:cs="仿宋" w:hint="eastAsia"/>
                <w:kern w:val="0"/>
                <w:szCs w:val="21"/>
              </w:rPr>
              <w:t>法院</w:t>
            </w:r>
          </w:p>
        </w:tc>
        <w:tc>
          <w:tcPr>
            <w:tcW w:w="4894" w:type="dxa"/>
            <w:vAlign w:val="center"/>
          </w:tcPr>
          <w:p w:rsidR="00EE050B" w:rsidRDefault="00EE050B" w:rsidP="007C666E">
            <w:pPr>
              <w:widowControl/>
              <w:shd w:val="clear" w:color="auto" w:fill="FFFFFF"/>
              <w:spacing w:line="300" w:lineRule="exact"/>
              <w:ind w:firstLine="420"/>
              <w:rPr>
                <w:rFonts w:ascii="仿宋_GB2312" w:eastAsia="仿宋_GB2312" w:hAnsi="宋体" w:cs="仿宋" w:hint="eastAsia"/>
                <w:bCs/>
                <w:kern w:val="0"/>
                <w:szCs w:val="21"/>
              </w:rPr>
            </w:pPr>
            <w:r>
              <w:rPr>
                <w:rFonts w:ascii="仿宋_GB2312" w:eastAsia="仿宋_GB2312" w:hAnsi="宋体" w:hint="eastAsia"/>
                <w:szCs w:val="21"/>
              </w:rPr>
              <w:t>制定《建立诉调对接平台 开展诉调对接工作实施方案》，聘任</w:t>
            </w:r>
            <w:r>
              <w:rPr>
                <w:rFonts w:ascii="仿宋_GB2312" w:eastAsia="仿宋_GB2312" w:hAnsi="宋体" w:cs="仿宋" w:hint="eastAsia"/>
                <w:kern w:val="0"/>
                <w:szCs w:val="21"/>
              </w:rPr>
              <w:t>港澳</w:t>
            </w:r>
            <w:proofErr w:type="gramStart"/>
            <w:r>
              <w:rPr>
                <w:rFonts w:ascii="仿宋_GB2312" w:eastAsia="仿宋_GB2312" w:hAnsi="宋体" w:cs="仿宋" w:hint="eastAsia"/>
                <w:kern w:val="0"/>
                <w:szCs w:val="21"/>
              </w:rPr>
              <w:t>籍法律</w:t>
            </w:r>
            <w:proofErr w:type="gramEnd"/>
            <w:r>
              <w:rPr>
                <w:rFonts w:ascii="仿宋_GB2312" w:eastAsia="仿宋_GB2312" w:hAnsi="宋体" w:cs="仿宋" w:hint="eastAsia"/>
                <w:kern w:val="0"/>
                <w:szCs w:val="21"/>
              </w:rPr>
              <w:t>人士担任特约调解员。</w:t>
            </w:r>
          </w:p>
        </w:tc>
        <w:tc>
          <w:tcPr>
            <w:tcW w:w="5127" w:type="dxa"/>
            <w:vAlign w:val="center"/>
          </w:tcPr>
          <w:p w:rsidR="00EE050B" w:rsidRDefault="00EE050B" w:rsidP="007C666E">
            <w:pPr>
              <w:widowControl/>
              <w:shd w:val="clear" w:color="auto" w:fill="FFFFFF"/>
              <w:spacing w:line="300" w:lineRule="exact"/>
              <w:ind w:firstLineChars="200" w:firstLine="420"/>
              <w:rPr>
                <w:rFonts w:ascii="仿宋_GB2312" w:eastAsia="仿宋_GB2312" w:hAnsi="宋体" w:cs="仿宋_GB2312" w:hint="eastAsia"/>
                <w:kern w:val="0"/>
                <w:szCs w:val="21"/>
              </w:rPr>
            </w:pPr>
            <w:r>
              <w:rPr>
                <w:rFonts w:ascii="仿宋_GB2312" w:eastAsia="仿宋_GB2312" w:hAnsi="宋体" w:cs="仿宋" w:hint="eastAsia"/>
                <w:kern w:val="0"/>
                <w:szCs w:val="21"/>
              </w:rPr>
              <w:t>有利于满足境内外当事人多元化司法需求，促进</w:t>
            </w:r>
            <w:proofErr w:type="gramStart"/>
            <w:r>
              <w:rPr>
                <w:rFonts w:ascii="仿宋_GB2312" w:eastAsia="仿宋_GB2312" w:hAnsi="宋体" w:cs="仿宋" w:hint="eastAsia"/>
                <w:kern w:val="0"/>
                <w:szCs w:val="21"/>
              </w:rPr>
              <w:t>涉澳民商</w:t>
            </w:r>
            <w:proofErr w:type="gramEnd"/>
            <w:r>
              <w:rPr>
                <w:rFonts w:ascii="仿宋_GB2312" w:eastAsia="仿宋_GB2312" w:hAnsi="宋体" w:cs="仿宋" w:hint="eastAsia"/>
                <w:kern w:val="0"/>
                <w:szCs w:val="21"/>
              </w:rPr>
              <w:t>事纠纷及时有效化解。</w:t>
            </w:r>
          </w:p>
        </w:tc>
        <w:tc>
          <w:tcPr>
            <w:tcW w:w="1260" w:type="dxa"/>
            <w:vAlign w:val="center"/>
          </w:tcPr>
          <w:p w:rsidR="00EE050B" w:rsidRDefault="00EE050B" w:rsidP="007C666E">
            <w:pPr>
              <w:spacing w:line="300" w:lineRule="exact"/>
              <w:jc w:val="center"/>
              <w:rPr>
                <w:rFonts w:ascii="仿宋_GB2312" w:eastAsia="仿宋_GB2312" w:hAnsi="宋体" w:cs="仿宋" w:hint="eastAsia"/>
                <w:kern w:val="0"/>
                <w:szCs w:val="21"/>
              </w:rPr>
            </w:pPr>
            <w:r>
              <w:rPr>
                <w:rFonts w:ascii="仿宋_GB2312" w:eastAsia="仿宋_GB2312" w:hAnsi="宋体" w:cs="仿宋" w:hint="eastAsia"/>
                <w:kern w:val="0"/>
                <w:szCs w:val="21"/>
              </w:rPr>
              <w:t>全市</w:t>
            </w:r>
          </w:p>
        </w:tc>
      </w:tr>
      <w:tr w:rsidR="00EE050B" w:rsidTr="007C666E">
        <w:trPr>
          <w:cantSplit/>
          <w:trHeight w:val="1513"/>
          <w:jc w:val="center"/>
        </w:trPr>
        <w:tc>
          <w:tcPr>
            <w:tcW w:w="515" w:type="dxa"/>
            <w:vAlign w:val="center"/>
          </w:tcPr>
          <w:p w:rsidR="00EE050B" w:rsidRDefault="00EE050B" w:rsidP="007C666E">
            <w:pPr>
              <w:spacing w:line="300" w:lineRule="exact"/>
              <w:jc w:val="center"/>
              <w:rPr>
                <w:rFonts w:ascii="仿宋_GB2312" w:eastAsia="仿宋_GB2312" w:hAnsi="宋体" w:cs="仿宋" w:hint="eastAsia"/>
                <w:b/>
                <w:bCs/>
              </w:rPr>
            </w:pPr>
            <w:r>
              <w:rPr>
                <w:rFonts w:ascii="仿宋_GB2312" w:eastAsia="仿宋_GB2312" w:hAnsi="宋体" w:cs="仿宋" w:hint="eastAsia"/>
                <w:b/>
                <w:bCs/>
              </w:rPr>
              <w:t>5</w:t>
            </w:r>
          </w:p>
        </w:tc>
        <w:tc>
          <w:tcPr>
            <w:tcW w:w="1488" w:type="dxa"/>
            <w:vAlign w:val="center"/>
          </w:tcPr>
          <w:p w:rsidR="00EE050B" w:rsidRDefault="00EE050B" w:rsidP="007C666E">
            <w:pPr>
              <w:spacing w:line="300" w:lineRule="exact"/>
              <w:jc w:val="center"/>
              <w:rPr>
                <w:rFonts w:ascii="仿宋_GB2312" w:eastAsia="仿宋_GB2312" w:hAnsi="宋体" w:cs="仿宋" w:hint="eastAsia"/>
                <w:b/>
                <w:bCs/>
                <w:sz w:val="24"/>
                <w:lang w:val="zh-CN"/>
              </w:rPr>
            </w:pPr>
            <w:r>
              <w:rPr>
                <w:rFonts w:ascii="仿宋_GB2312" w:eastAsia="仿宋_GB2312" w:hAnsi="宋体" w:cs="仿宋" w:hint="eastAsia"/>
                <w:b/>
                <w:bCs/>
              </w:rPr>
              <w:t>设立民商事调解中心</w:t>
            </w:r>
          </w:p>
        </w:tc>
        <w:tc>
          <w:tcPr>
            <w:tcW w:w="1260" w:type="dxa"/>
            <w:vAlign w:val="center"/>
          </w:tcPr>
          <w:p w:rsidR="00EE050B" w:rsidRDefault="00EE050B" w:rsidP="007C666E">
            <w:pPr>
              <w:spacing w:line="300" w:lineRule="exact"/>
              <w:jc w:val="center"/>
              <w:rPr>
                <w:rFonts w:ascii="仿宋_GB2312" w:eastAsia="仿宋_GB2312" w:hAnsi="宋体" w:cs="仿宋" w:hint="eastAsia"/>
                <w:szCs w:val="21"/>
              </w:rPr>
            </w:pPr>
            <w:r>
              <w:rPr>
                <w:rFonts w:ascii="仿宋_GB2312" w:eastAsia="仿宋_GB2312" w:hAnsi="宋体" w:cs="仿宋" w:hint="eastAsia"/>
                <w:szCs w:val="21"/>
              </w:rPr>
              <w:t>珠海仲裁委员会</w:t>
            </w:r>
          </w:p>
        </w:tc>
        <w:tc>
          <w:tcPr>
            <w:tcW w:w="4894" w:type="dxa"/>
            <w:vAlign w:val="center"/>
          </w:tcPr>
          <w:p w:rsidR="00EE050B" w:rsidRDefault="00EE050B" w:rsidP="007C666E">
            <w:pPr>
              <w:widowControl/>
              <w:shd w:val="clear" w:color="auto" w:fill="FFFFFF"/>
              <w:spacing w:line="300" w:lineRule="exact"/>
              <w:ind w:firstLine="420"/>
              <w:rPr>
                <w:rFonts w:ascii="仿宋_GB2312" w:eastAsia="仿宋_GB2312" w:hAnsi="宋体" w:cs="仿宋" w:hint="eastAsia"/>
                <w:bCs/>
                <w:kern w:val="0"/>
                <w:szCs w:val="21"/>
              </w:rPr>
            </w:pPr>
            <w:r>
              <w:rPr>
                <w:rFonts w:ascii="仿宋_GB2312" w:eastAsia="仿宋_GB2312" w:hAnsi="宋体" w:cs="仿宋" w:hint="eastAsia"/>
                <w:bCs/>
                <w:kern w:val="0"/>
                <w:szCs w:val="21"/>
              </w:rPr>
              <w:t>借鉴横琴设立专业商事调解机构做法，在我市设立民商事调解中心,主要调解平等主体的自然人、法人和其他组织之间发生的合同纠纷和其他财产权益纠纷；提供与调解相关的法律咨询服务；开展与调解相关的研究及宣传推广活动。</w:t>
            </w:r>
          </w:p>
        </w:tc>
        <w:tc>
          <w:tcPr>
            <w:tcW w:w="5127" w:type="dxa"/>
            <w:vAlign w:val="center"/>
          </w:tcPr>
          <w:p w:rsidR="00EE050B" w:rsidRDefault="00EE050B" w:rsidP="007C666E">
            <w:pPr>
              <w:widowControl/>
              <w:shd w:val="clear" w:color="auto" w:fill="FFFFFF"/>
              <w:spacing w:line="300" w:lineRule="exact"/>
              <w:ind w:firstLine="420"/>
              <w:rPr>
                <w:rFonts w:ascii="仿宋_GB2312" w:eastAsia="仿宋_GB2312" w:hAnsi="宋体" w:cs="仿宋" w:hint="eastAsia"/>
                <w:bCs/>
                <w:kern w:val="0"/>
                <w:szCs w:val="21"/>
              </w:rPr>
            </w:pPr>
            <w:r>
              <w:rPr>
                <w:rFonts w:ascii="仿宋_GB2312" w:eastAsia="仿宋_GB2312" w:hAnsi="宋体" w:cs="仿宋" w:hint="eastAsia"/>
                <w:bCs/>
                <w:kern w:val="0"/>
                <w:szCs w:val="21"/>
              </w:rPr>
              <w:t>创新调解机构体制，填补我市商事调解无专业机构的空白。</w:t>
            </w:r>
          </w:p>
        </w:tc>
        <w:tc>
          <w:tcPr>
            <w:tcW w:w="1260" w:type="dxa"/>
            <w:vAlign w:val="center"/>
          </w:tcPr>
          <w:p w:rsidR="00EE050B" w:rsidRDefault="00EE050B" w:rsidP="007C666E">
            <w:pPr>
              <w:widowControl/>
              <w:shd w:val="clear" w:color="auto" w:fill="FFFFFF"/>
              <w:spacing w:line="300" w:lineRule="exact"/>
              <w:jc w:val="center"/>
              <w:rPr>
                <w:rFonts w:ascii="仿宋_GB2312" w:eastAsia="仿宋_GB2312" w:hAnsi="宋体" w:cs="仿宋" w:hint="eastAsia"/>
                <w:bCs/>
                <w:kern w:val="0"/>
                <w:szCs w:val="21"/>
              </w:rPr>
            </w:pPr>
            <w:r>
              <w:rPr>
                <w:rFonts w:ascii="仿宋_GB2312" w:eastAsia="仿宋_GB2312" w:hAnsi="宋体" w:cs="仿宋" w:hint="eastAsia"/>
                <w:bCs/>
                <w:kern w:val="0"/>
                <w:szCs w:val="21"/>
              </w:rPr>
              <w:t>全市</w:t>
            </w:r>
          </w:p>
        </w:tc>
      </w:tr>
      <w:tr w:rsidR="00EE050B" w:rsidTr="007C666E">
        <w:trPr>
          <w:cantSplit/>
          <w:trHeight w:val="1513"/>
          <w:jc w:val="center"/>
        </w:trPr>
        <w:tc>
          <w:tcPr>
            <w:tcW w:w="515" w:type="dxa"/>
            <w:vAlign w:val="center"/>
          </w:tcPr>
          <w:p w:rsidR="00EE050B" w:rsidRDefault="00EE050B" w:rsidP="007C666E">
            <w:pPr>
              <w:spacing w:line="300" w:lineRule="exact"/>
              <w:jc w:val="center"/>
              <w:rPr>
                <w:rFonts w:ascii="仿宋_GB2312" w:eastAsia="仿宋_GB2312" w:hAnsi="宋体" w:cs="仿宋" w:hint="eastAsia"/>
                <w:b/>
                <w:bCs/>
              </w:rPr>
            </w:pPr>
            <w:r>
              <w:rPr>
                <w:rFonts w:ascii="仿宋_GB2312" w:eastAsia="仿宋_GB2312" w:hAnsi="宋体" w:cs="仿宋" w:hint="eastAsia"/>
                <w:b/>
                <w:bCs/>
              </w:rPr>
              <w:t>6</w:t>
            </w:r>
          </w:p>
        </w:tc>
        <w:tc>
          <w:tcPr>
            <w:tcW w:w="1488" w:type="dxa"/>
            <w:vAlign w:val="center"/>
          </w:tcPr>
          <w:p w:rsidR="00EE050B" w:rsidRDefault="00EE050B" w:rsidP="007C666E">
            <w:pPr>
              <w:spacing w:line="300" w:lineRule="exact"/>
              <w:jc w:val="center"/>
              <w:rPr>
                <w:rFonts w:ascii="仿宋_GB2312" w:eastAsia="仿宋_GB2312" w:hAnsi="宋体" w:cs="仿宋" w:hint="eastAsia"/>
                <w:b/>
                <w:bCs/>
              </w:rPr>
            </w:pPr>
            <w:r>
              <w:rPr>
                <w:rFonts w:ascii="仿宋_GB2312" w:eastAsia="仿宋_GB2312" w:hAnsi="宋体" w:cs="仿宋" w:hint="eastAsia"/>
                <w:b/>
                <w:bCs/>
              </w:rPr>
              <w:t>建立商标权纠纷快速调解与仲裁机制</w:t>
            </w:r>
          </w:p>
        </w:tc>
        <w:tc>
          <w:tcPr>
            <w:tcW w:w="1260" w:type="dxa"/>
            <w:vAlign w:val="center"/>
          </w:tcPr>
          <w:p w:rsidR="00EE050B" w:rsidRDefault="00EE050B" w:rsidP="007C666E">
            <w:pPr>
              <w:spacing w:line="300" w:lineRule="exact"/>
              <w:jc w:val="center"/>
              <w:rPr>
                <w:rFonts w:ascii="仿宋_GB2312" w:eastAsia="仿宋_GB2312" w:hAnsi="宋体" w:cs="仿宋" w:hint="eastAsia"/>
                <w:szCs w:val="21"/>
              </w:rPr>
            </w:pPr>
            <w:r>
              <w:rPr>
                <w:rFonts w:ascii="仿宋_GB2312" w:eastAsia="仿宋_GB2312" w:hAnsi="宋体" w:cs="仿宋" w:hint="eastAsia"/>
                <w:szCs w:val="21"/>
              </w:rPr>
              <w:t>珠海仲裁委员会、</w:t>
            </w:r>
          </w:p>
          <w:p w:rsidR="00EE050B" w:rsidRDefault="00EE050B" w:rsidP="007C666E">
            <w:pPr>
              <w:spacing w:line="300" w:lineRule="exact"/>
              <w:jc w:val="center"/>
              <w:rPr>
                <w:rFonts w:ascii="仿宋_GB2312" w:eastAsia="仿宋_GB2312" w:hAnsi="宋体" w:cs="仿宋" w:hint="eastAsia"/>
                <w:szCs w:val="21"/>
              </w:rPr>
            </w:pPr>
            <w:r>
              <w:rPr>
                <w:rFonts w:ascii="仿宋_GB2312" w:eastAsia="仿宋_GB2312" w:hAnsi="宋体" w:cs="仿宋" w:hint="eastAsia"/>
                <w:szCs w:val="21"/>
              </w:rPr>
              <w:t>市工商局</w:t>
            </w:r>
          </w:p>
        </w:tc>
        <w:tc>
          <w:tcPr>
            <w:tcW w:w="4894" w:type="dxa"/>
            <w:vAlign w:val="center"/>
          </w:tcPr>
          <w:p w:rsidR="00EE050B" w:rsidRDefault="00EE050B" w:rsidP="007C666E">
            <w:pPr>
              <w:widowControl/>
              <w:shd w:val="clear" w:color="auto" w:fill="FFFFFF"/>
              <w:spacing w:line="300" w:lineRule="exact"/>
              <w:ind w:firstLine="420"/>
              <w:rPr>
                <w:rFonts w:ascii="仿宋_GB2312" w:eastAsia="仿宋_GB2312" w:hAnsi="宋体" w:cs="仿宋" w:hint="eastAsia"/>
                <w:bCs/>
                <w:kern w:val="0"/>
                <w:szCs w:val="21"/>
              </w:rPr>
            </w:pPr>
            <w:r>
              <w:rPr>
                <w:rFonts w:ascii="仿宋_GB2312" w:eastAsia="仿宋_GB2312" w:hAnsi="宋体" w:cs="仿宋" w:hint="eastAsia"/>
                <w:bCs/>
                <w:kern w:val="0"/>
                <w:szCs w:val="21"/>
              </w:rPr>
              <w:t>一是在商标侵权纠纷中引入知识产权商事调解，实现商标侵权纠纷行政处理程序与民事索赔的对接，降低当事人维权成本。</w:t>
            </w:r>
          </w:p>
          <w:p w:rsidR="00EE050B" w:rsidRDefault="00EE050B" w:rsidP="007C666E">
            <w:pPr>
              <w:widowControl/>
              <w:shd w:val="clear" w:color="auto" w:fill="FFFFFF"/>
              <w:spacing w:line="300" w:lineRule="exact"/>
              <w:ind w:firstLine="420"/>
              <w:rPr>
                <w:rFonts w:ascii="仿宋_GB2312" w:eastAsia="仿宋_GB2312" w:hAnsi="宋体" w:cs="仿宋" w:hint="eastAsia"/>
                <w:bCs/>
                <w:kern w:val="0"/>
                <w:szCs w:val="21"/>
              </w:rPr>
            </w:pPr>
            <w:r>
              <w:rPr>
                <w:rFonts w:ascii="仿宋_GB2312" w:eastAsia="仿宋_GB2312" w:hAnsi="宋体" w:cs="仿宋" w:hint="eastAsia"/>
                <w:bCs/>
                <w:kern w:val="0"/>
                <w:szCs w:val="21"/>
              </w:rPr>
              <w:t>二是建立商标权质押纠纷快速仲裁机制，完善商标权质押登记配套制度，进一步提升珠海市商标权质押登记运作体系的整体优势。</w:t>
            </w:r>
          </w:p>
        </w:tc>
        <w:tc>
          <w:tcPr>
            <w:tcW w:w="5127" w:type="dxa"/>
            <w:vAlign w:val="center"/>
          </w:tcPr>
          <w:p w:rsidR="00EE050B" w:rsidRDefault="00EE050B" w:rsidP="007C666E">
            <w:pPr>
              <w:widowControl/>
              <w:shd w:val="clear" w:color="auto" w:fill="FFFFFF"/>
              <w:spacing w:line="300" w:lineRule="exact"/>
              <w:ind w:firstLine="420"/>
              <w:rPr>
                <w:rFonts w:ascii="仿宋_GB2312" w:eastAsia="仿宋_GB2312" w:hAnsi="宋体" w:cs="仿宋" w:hint="eastAsia"/>
                <w:bCs/>
                <w:kern w:val="0"/>
                <w:szCs w:val="21"/>
              </w:rPr>
            </w:pPr>
            <w:r>
              <w:rPr>
                <w:rFonts w:ascii="仿宋_GB2312" w:eastAsia="仿宋_GB2312" w:hAnsi="宋体" w:cs="仿宋" w:hint="eastAsia"/>
                <w:bCs/>
                <w:kern w:val="0"/>
                <w:szCs w:val="21"/>
              </w:rPr>
              <w:t>创新知识产权多元化争议解决方式。</w:t>
            </w:r>
          </w:p>
        </w:tc>
        <w:tc>
          <w:tcPr>
            <w:tcW w:w="1260" w:type="dxa"/>
            <w:vAlign w:val="center"/>
          </w:tcPr>
          <w:p w:rsidR="00EE050B" w:rsidRDefault="00EE050B" w:rsidP="007C666E">
            <w:pPr>
              <w:widowControl/>
              <w:shd w:val="clear" w:color="auto" w:fill="FFFFFF"/>
              <w:spacing w:line="300" w:lineRule="exact"/>
              <w:jc w:val="center"/>
              <w:rPr>
                <w:rFonts w:ascii="仿宋_GB2312" w:eastAsia="仿宋_GB2312" w:hAnsi="宋体" w:cs="仿宋" w:hint="eastAsia"/>
                <w:bCs/>
                <w:kern w:val="0"/>
                <w:szCs w:val="21"/>
              </w:rPr>
            </w:pPr>
            <w:r>
              <w:rPr>
                <w:rFonts w:ascii="仿宋_GB2312" w:eastAsia="仿宋_GB2312" w:hAnsi="宋体" w:cs="仿宋" w:hint="eastAsia"/>
                <w:bCs/>
                <w:kern w:val="0"/>
                <w:szCs w:val="21"/>
              </w:rPr>
              <w:t>全市</w:t>
            </w:r>
          </w:p>
        </w:tc>
      </w:tr>
    </w:tbl>
    <w:p w:rsidR="00EE050B" w:rsidRDefault="00EE050B" w:rsidP="00EE050B">
      <w:pPr>
        <w:pStyle w:val="a4"/>
        <w:rPr>
          <w:rFonts w:hAnsi="宋体" w:cs="宋体" w:hint="eastAsia"/>
        </w:rPr>
      </w:pPr>
    </w:p>
    <w:p w:rsidR="003934CA" w:rsidRDefault="00EE050B"/>
    <w:sectPr w:rsidR="003934CA" w:rsidSect="00EE050B">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50B"/>
    <w:rsid w:val="0094284E"/>
    <w:rsid w:val="00DA3B58"/>
    <w:rsid w:val="00EE0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67A94-1A74-46FB-A5EB-90C0E80C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E050B"/>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sid w:val="00EE050B"/>
    <w:pPr>
      <w:widowControl/>
      <w:jc w:val="left"/>
    </w:pPr>
    <w:rPr>
      <w:rFonts w:ascii="宋体" w:hAnsi="Courier New"/>
      <w:kern w:val="0"/>
      <w:sz w:val="20"/>
      <w:szCs w:val="21"/>
    </w:rPr>
  </w:style>
  <w:style w:type="character" w:customStyle="1" w:styleId="a5">
    <w:name w:val="纯文本 字符"/>
    <w:basedOn w:val="a1"/>
    <w:link w:val="a4"/>
    <w:rsid w:val="00EE050B"/>
    <w:rPr>
      <w:rFonts w:ascii="宋体" w:eastAsia="宋体" w:hAnsi="Courier New" w:cs="Times New Roman"/>
      <w:kern w:val="0"/>
      <w:sz w:val="20"/>
      <w:szCs w:val="21"/>
    </w:rPr>
  </w:style>
  <w:style w:type="paragraph" w:styleId="a0">
    <w:name w:val="Normal Indent"/>
    <w:basedOn w:val="a"/>
    <w:uiPriority w:val="99"/>
    <w:semiHidden/>
    <w:unhideWhenUsed/>
    <w:rsid w:val="00EE0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林海敏:</dc:creator>
  <cp:keywords/>
  <dc:description/>
  <cp:lastModifiedBy>林海敏:</cp:lastModifiedBy>
  <cp:revision>1</cp:revision>
  <dcterms:created xsi:type="dcterms:W3CDTF">2018-08-09T01:34:00Z</dcterms:created>
  <dcterms:modified xsi:type="dcterms:W3CDTF">2018-08-09T01:34:00Z</dcterms:modified>
</cp:coreProperties>
</file>